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C9B2D">
      <w:pPr>
        <w:widowControl/>
        <w:shd w:val="clear" w:color="auto" w:fill="FFFFFF"/>
        <w:spacing w:line="660" w:lineRule="atLeast"/>
        <w:jc w:val="center"/>
        <w:outlineLvl w:val="1"/>
        <w:rPr>
          <w:rFonts w:ascii="方正小标宋简体" w:hAnsi="微软雅黑" w:eastAsia="方正小标宋简体" w:cs="宋体"/>
          <w:b/>
          <w:bCs/>
          <w:color w:val="auto"/>
          <w:kern w:val="0"/>
          <w:sz w:val="44"/>
          <w:szCs w:val="44"/>
        </w:rPr>
      </w:pPr>
      <w:r>
        <w:rPr>
          <w:rFonts w:ascii="方正小标宋简体" w:hAnsi="微软雅黑" w:eastAsia="方正小标宋简体" w:cs="宋体"/>
          <w:b/>
          <w:bCs/>
          <w:color w:val="auto"/>
          <w:kern w:val="0"/>
          <w:sz w:val="44"/>
          <w:szCs w:val="44"/>
        </w:rPr>
        <w:t>浙江大学电气工程学院202</w:t>
      </w:r>
      <w:r>
        <w:rPr>
          <w:rFonts w:hint="eastAsia" w:ascii="方正小标宋简体" w:hAnsi="微软雅黑" w:eastAsia="方正小标宋简体" w:cs="宋体"/>
          <w:b/>
          <w:bCs/>
          <w:color w:val="auto"/>
          <w:kern w:val="0"/>
          <w:sz w:val="44"/>
          <w:szCs w:val="44"/>
          <w:lang w:val="en-US" w:eastAsia="zh-CN"/>
        </w:rPr>
        <w:t>7</w:t>
      </w:r>
      <w:r>
        <w:rPr>
          <w:rFonts w:ascii="方正小标宋简体" w:hAnsi="微软雅黑" w:eastAsia="方正小标宋简体" w:cs="宋体"/>
          <w:b/>
          <w:bCs/>
          <w:color w:val="auto"/>
          <w:kern w:val="0"/>
          <w:sz w:val="44"/>
          <w:szCs w:val="44"/>
        </w:rPr>
        <w:t>年</w:t>
      </w:r>
    </w:p>
    <w:p w14:paraId="5468BC53">
      <w:pPr>
        <w:widowControl/>
        <w:shd w:val="clear" w:color="auto" w:fill="FFFFFF"/>
        <w:spacing w:line="660" w:lineRule="atLeast"/>
        <w:jc w:val="center"/>
        <w:outlineLvl w:val="1"/>
        <w:rPr>
          <w:rFonts w:ascii="方正小标宋简体" w:hAnsi="微软雅黑" w:eastAsia="方正小标宋简体" w:cs="宋体"/>
          <w:b/>
          <w:bCs/>
          <w:color w:val="auto"/>
          <w:kern w:val="0"/>
          <w:sz w:val="44"/>
          <w:szCs w:val="44"/>
        </w:rPr>
      </w:pPr>
      <w:r>
        <w:rPr>
          <w:rFonts w:ascii="方正小标宋简体" w:hAnsi="微软雅黑" w:eastAsia="方正小标宋简体" w:cs="宋体"/>
          <w:b/>
          <w:bCs/>
          <w:color w:val="auto"/>
          <w:kern w:val="0"/>
          <w:sz w:val="44"/>
          <w:szCs w:val="44"/>
        </w:rPr>
        <w:t>博士生招生简章</w:t>
      </w:r>
    </w:p>
    <w:p w14:paraId="2EE8A56A">
      <w:pPr>
        <w:pStyle w:val="13"/>
        <w:ind w:left="420" w:firstLine="640"/>
        <w:jc w:val="both"/>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浙江大学电气工程学院建有电气工程、控制科学与工程（共建）2个一级学科，均为国家重点学科。建有电气工程、控制科学与工程（共建）2个博士后流动站。学院设有电机工程学系、系统科学与工程学系、</w:t>
      </w:r>
      <w:bookmarkStart w:id="2" w:name="_GoBack"/>
      <w:bookmarkEnd w:id="2"/>
      <w:r>
        <w:rPr>
          <w:rFonts w:ascii="Times New Roman" w:hAnsi="Times New Roman" w:eastAsia="仿宋_GB2312" w:cs="Times New Roman"/>
          <w:kern w:val="0"/>
          <w:sz w:val="32"/>
          <w:szCs w:val="32"/>
        </w:rPr>
        <w:t>应用电子学系和电工电子基础教学中心。建有电力电子技术国家专业实验室、电力电子应用技术国家工程研究中心、</w:t>
      </w:r>
      <w:r>
        <w:fldChar w:fldCharType="begin"/>
      </w:r>
      <w:r>
        <w:instrText xml:space="preserve"> HYPERLINK "http://eelab.zju.edu.cn/" \t "_blank" </w:instrText>
      </w:r>
      <w:r>
        <w:fldChar w:fldCharType="separate"/>
      </w:r>
      <w:r>
        <w:rPr>
          <w:rFonts w:ascii="Times New Roman" w:hAnsi="Times New Roman" w:eastAsia="仿宋_GB2312" w:cs="Times New Roman"/>
          <w:kern w:val="0"/>
          <w:sz w:val="32"/>
          <w:szCs w:val="32"/>
        </w:rPr>
        <w:t>国家级电工电子实验教学示范中心</w:t>
      </w:r>
      <w:r>
        <w:rPr>
          <w:rFonts w:ascii="Times New Roman" w:hAnsi="Times New Roman" w:eastAsia="仿宋_GB2312" w:cs="Times New Roman"/>
          <w:kern w:val="0"/>
          <w:sz w:val="32"/>
          <w:szCs w:val="32"/>
        </w:rPr>
        <w:fldChar w:fldCharType="end"/>
      </w:r>
      <w:r>
        <w:rPr>
          <w:rFonts w:ascii="Times New Roman" w:hAnsi="Times New Roman" w:eastAsia="仿宋_GB2312" w:cs="Times New Roman"/>
          <w:kern w:val="0"/>
          <w:sz w:val="32"/>
          <w:szCs w:val="32"/>
        </w:rPr>
        <w:t>、</w:t>
      </w:r>
      <w:r>
        <w:rPr>
          <w:rFonts w:ascii="Times New Roman" w:hAnsi="Times New Roman" w:eastAsia="仿宋_GB2312" w:cs="Times New Roman"/>
          <w:color w:val="auto"/>
          <w:kern w:val="0"/>
          <w:sz w:val="32"/>
          <w:szCs w:val="32"/>
        </w:rPr>
        <w:t>全省可再生能源电气技术与系统重点实验室、</w:t>
      </w:r>
      <w:r>
        <w:rPr>
          <w:rFonts w:hint="eastAsia" w:ascii="Times New Roman" w:hAnsi="Times New Roman" w:eastAsia="仿宋_GB2312" w:cs="Times New Roman"/>
          <w:color w:val="auto"/>
          <w:kern w:val="0"/>
          <w:sz w:val="32"/>
          <w:szCs w:val="32"/>
        </w:rPr>
        <w:t>全省先进电气装备重点实验室</w:t>
      </w:r>
      <w:r>
        <w:rPr>
          <w:rFonts w:ascii="Times New Roman" w:hAnsi="Times New Roman" w:eastAsia="仿宋_GB2312" w:cs="Times New Roman"/>
          <w:color w:val="auto"/>
          <w:kern w:val="0"/>
          <w:sz w:val="32"/>
          <w:szCs w:val="32"/>
        </w:rPr>
        <w:t>以</w:t>
      </w:r>
      <w:r>
        <w:rPr>
          <w:rFonts w:ascii="Times New Roman" w:hAnsi="Times New Roman" w:eastAsia="仿宋_GB2312" w:cs="Times New Roman"/>
          <w:kern w:val="0"/>
          <w:sz w:val="32"/>
          <w:szCs w:val="32"/>
        </w:rPr>
        <w:t>及10个研究所和研究中心。</w:t>
      </w:r>
    </w:p>
    <w:p w14:paraId="5CE2089E">
      <w:pPr>
        <w:pStyle w:val="13"/>
        <w:ind w:left="420" w:firstLine="640"/>
        <w:jc w:val="both"/>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电气工程学院的科研工作强电、弱电并举，硬件与软件并重，在基础研究、应用研究和开发研究方面都取得了大批重要的研究成果。同时，学院重视开展国际合作与学术交流活动，已与美国、日本、德国、英国、俄罗斯等国家和我国香港、台湾等地区的著名大学和研究所建立了广泛的交流和合作关系。</w:t>
      </w:r>
    </w:p>
    <w:p w14:paraId="69288B4F">
      <w:pPr>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一、招生方式、选拔机制</w:t>
      </w:r>
    </w:p>
    <w:p w14:paraId="672DD485">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电气工程学院通过直接攻博、硕博连读和普通招考三种方式，按照“申请-考核”招生选拔机制招收202</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年博士生。不招收非全日制学术学位研究生。</w:t>
      </w:r>
    </w:p>
    <w:p w14:paraId="4ABD4480">
      <w:pPr>
        <w:ind w:firstLine="640" w:firstLineChars="200"/>
        <w:jc w:val="left"/>
        <w:rPr>
          <w:rFonts w:ascii="Times New Roman" w:hAnsi="Times New Roman" w:eastAsia="黑体" w:cs="Times New Roman"/>
          <w:kern w:val="0"/>
          <w:sz w:val="32"/>
          <w:szCs w:val="32"/>
        </w:rPr>
      </w:pPr>
      <w:r>
        <w:rPr>
          <w:rFonts w:ascii="Times New Roman" w:hAnsi="Times New Roman" w:eastAsia="黑体" w:cs="Times New Roman"/>
          <w:kern w:val="0"/>
          <w:sz w:val="32"/>
          <w:szCs w:val="32"/>
        </w:rPr>
        <w:t>二、招生专业和学制</w:t>
      </w:r>
    </w:p>
    <w:p w14:paraId="006B1162">
      <w:pPr>
        <w:ind w:firstLine="640" w:firstLineChars="200"/>
        <w:jc w:val="both"/>
        <w:rPr>
          <w:rFonts w:hint="default" w:ascii="Times New Roman" w:hAnsi="Times New Roman" w:eastAsia="仿宋_GB2312" w:cs="Times New Roman"/>
          <w:color w:val="auto"/>
          <w:kern w:val="0"/>
          <w:sz w:val="32"/>
          <w:szCs w:val="32"/>
          <w:highlight w:val="none"/>
          <w:lang w:val="en-US" w:eastAsia="zh-CN"/>
        </w:rPr>
      </w:pPr>
      <w:r>
        <w:rPr>
          <w:rFonts w:ascii="Times New Roman" w:hAnsi="Times New Roman" w:eastAsia="仿宋_GB2312" w:cs="Times New Roman"/>
          <w:kern w:val="0"/>
          <w:sz w:val="32"/>
          <w:szCs w:val="32"/>
        </w:rPr>
        <w:t>电气工程学院计划202</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年在电气工程、控制理论与控制工程专业招收全日制非定向学术学位博士研究生；</w:t>
      </w:r>
      <w:r>
        <w:rPr>
          <w:rFonts w:ascii="Times New Roman" w:hAnsi="Times New Roman" w:eastAsia="仿宋_GB2312" w:cs="Times New Roman"/>
          <w:color w:val="auto"/>
          <w:kern w:val="0"/>
          <w:sz w:val="32"/>
          <w:szCs w:val="32"/>
          <w:highlight w:val="none"/>
        </w:rPr>
        <w:t>在能源动力类电气工程领域、电子信息类招收全日制和非全日制工程博士专业学位研究生；在交通运输类招收非全日制工程博士专业学位研究生。</w:t>
      </w:r>
    </w:p>
    <w:p w14:paraId="55BB5F70">
      <w:pPr>
        <w:ind w:firstLine="640" w:firstLineChars="200"/>
        <w:jc w:val="both"/>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直接攻读博士生（以下简称直博生）学制5年；硕博连读博士生（以下简称硕博连读生）学制是硕士阶段与博士阶段合计5年；普通招考博士生（以下简称普博生）学制4年。</w:t>
      </w:r>
    </w:p>
    <w:p w14:paraId="6645BDED">
      <w:pPr>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三、报考条件</w:t>
      </w:r>
    </w:p>
    <w:p w14:paraId="636E6B4F">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考生除须符合国家和《浙江大学202</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年博士研究生招生简章》的要求外，还须满足下列条件：</w:t>
      </w:r>
    </w:p>
    <w:p w14:paraId="58F23584">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（一）外语水平须符合下列条件之一：</w:t>
      </w:r>
    </w:p>
    <w:p w14:paraId="278579F0">
      <w:pPr>
        <w:ind w:firstLine="640" w:firstLineChars="200"/>
        <w:rPr>
          <w:rFonts w:hint="eastAsia" w:ascii="方正仿宋_GB2312" w:hAnsi="方正仿宋_GB2312" w:eastAsia="方正仿宋_GB2312" w:cs="方正仿宋_GB2312"/>
          <w:kern w:val="0"/>
          <w:sz w:val="32"/>
          <w:szCs w:val="32"/>
          <w:lang w:val="en-US" w:eastAsia="zh-CN"/>
        </w:rPr>
      </w:pPr>
      <w:r>
        <w:rPr>
          <w:rFonts w:hint="default" w:ascii="Times New Roman" w:hAnsi="Times New Roman" w:eastAsia="方正仿宋_GB2312" w:cs="Times New Roman"/>
          <w:kern w:val="0"/>
          <w:sz w:val="32"/>
          <w:szCs w:val="32"/>
          <w:lang w:val="en-US" w:eastAsia="zh-CN"/>
        </w:rPr>
        <w:t>1.</w:t>
      </w:r>
      <w:r>
        <w:rPr>
          <w:rFonts w:hint="eastAsia" w:ascii="Times New Roman" w:hAnsi="Times New Roman" w:eastAsia="方正仿宋_GB2312" w:cs="Times New Roman"/>
          <w:kern w:val="0"/>
          <w:sz w:val="32"/>
          <w:szCs w:val="32"/>
          <w:lang w:val="en-US" w:eastAsia="zh-CN"/>
        </w:rPr>
        <w:t>直接攻博</w:t>
      </w:r>
    </w:p>
    <w:p w14:paraId="10D396D5">
      <w:pPr>
        <w:ind w:firstLine="640" w:firstLineChars="200"/>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kern w:val="0"/>
          <w:sz w:val="32"/>
          <w:szCs w:val="32"/>
        </w:rPr>
        <w:t>大学英语六级</w:t>
      </w:r>
      <w:r>
        <w:rPr>
          <w:rFonts w:hint="default" w:ascii="Times New Roman" w:hAnsi="Times New Roman" w:eastAsia="方正仿宋_GB2312" w:cs="Times New Roman"/>
          <w:kern w:val="0"/>
          <w:sz w:val="32"/>
          <w:szCs w:val="32"/>
        </w:rPr>
        <w:t>460</w:t>
      </w:r>
      <w:r>
        <w:rPr>
          <w:rFonts w:hint="eastAsia" w:ascii="方正仿宋_GB2312" w:hAnsi="方正仿宋_GB2312" w:eastAsia="方正仿宋_GB2312" w:cs="方正仿宋_GB2312"/>
          <w:kern w:val="0"/>
          <w:sz w:val="32"/>
          <w:szCs w:val="32"/>
        </w:rPr>
        <w:t>及以上或</w:t>
      </w:r>
      <w:r>
        <w:rPr>
          <w:rFonts w:hint="default" w:ascii="Times New Roman" w:hAnsi="Times New Roman" w:eastAsia="方正仿宋_GB2312" w:cs="Times New Roman"/>
          <w:kern w:val="0"/>
          <w:sz w:val="32"/>
          <w:szCs w:val="32"/>
        </w:rPr>
        <w:t>WSK（PETS 5）</w:t>
      </w:r>
      <w:r>
        <w:rPr>
          <w:rFonts w:hint="eastAsia" w:ascii="方正仿宋_GB2312" w:hAnsi="方正仿宋_GB2312" w:eastAsia="方正仿宋_GB2312" w:cs="方正仿宋_GB2312"/>
          <w:kern w:val="0"/>
          <w:sz w:val="32"/>
          <w:szCs w:val="32"/>
        </w:rPr>
        <w:t>合格或英语专业八级合格</w:t>
      </w:r>
      <w:r>
        <w:rPr>
          <w:rFonts w:hint="eastAsia" w:ascii="Times New Roman" w:hAnsi="Times New Roman" w:eastAsia="仿宋_GB2312" w:cs="Times New Roman"/>
          <w:kern w:val="0"/>
          <w:sz w:val="32"/>
          <w:szCs w:val="32"/>
          <w:lang w:val="en-US" w:eastAsia="zh-CN"/>
        </w:rPr>
        <w:t>（以上成绩有效期五年）</w:t>
      </w:r>
      <w:r>
        <w:rPr>
          <w:rFonts w:hint="eastAsia" w:ascii="方正仿宋_GB2312" w:hAnsi="方正仿宋_GB2312" w:eastAsia="方正仿宋_GB2312" w:cs="方正仿宋_GB2312"/>
          <w:kern w:val="0"/>
          <w:sz w:val="32"/>
          <w:szCs w:val="32"/>
        </w:rPr>
        <w:t>；或雅思</w:t>
      </w:r>
      <w:r>
        <w:rPr>
          <w:rFonts w:hint="default" w:ascii="Times New Roman" w:hAnsi="Times New Roman" w:eastAsia="方正仿宋_GB2312" w:cs="Times New Roman"/>
          <w:kern w:val="0"/>
          <w:sz w:val="32"/>
          <w:szCs w:val="32"/>
        </w:rPr>
        <w:t>5.5</w:t>
      </w:r>
      <w:r>
        <w:rPr>
          <w:rFonts w:hint="eastAsia" w:ascii="方正仿宋_GB2312" w:hAnsi="方正仿宋_GB2312" w:eastAsia="方正仿宋_GB2312" w:cs="方正仿宋_GB2312"/>
          <w:kern w:val="0"/>
          <w:sz w:val="32"/>
          <w:szCs w:val="32"/>
        </w:rPr>
        <w:t>及以上或托福</w:t>
      </w:r>
      <w:r>
        <w:rPr>
          <w:rFonts w:hint="default" w:ascii="Times New Roman" w:hAnsi="Times New Roman" w:eastAsia="方正仿宋_GB2312" w:cs="Times New Roman"/>
          <w:kern w:val="0"/>
          <w:sz w:val="32"/>
          <w:szCs w:val="32"/>
        </w:rPr>
        <w:t>80</w:t>
      </w:r>
      <w:r>
        <w:rPr>
          <w:rFonts w:hint="eastAsia" w:ascii="方正仿宋_GB2312" w:hAnsi="方正仿宋_GB2312" w:eastAsia="方正仿宋_GB2312" w:cs="方正仿宋_GB2312"/>
          <w:kern w:val="0"/>
          <w:sz w:val="32"/>
          <w:szCs w:val="32"/>
        </w:rPr>
        <w:t>及以上</w:t>
      </w:r>
      <w:r>
        <w:rPr>
          <w:rFonts w:hint="eastAsia" w:ascii="方正仿宋_GB2312" w:hAnsi="方正仿宋_GB2312" w:eastAsia="方正仿宋_GB2312" w:cs="方正仿宋_GB2312"/>
          <w:kern w:val="0"/>
          <w:sz w:val="32"/>
          <w:szCs w:val="32"/>
          <w:lang w:val="en-US" w:eastAsia="zh-CN"/>
        </w:rPr>
        <w:t>或</w:t>
      </w:r>
      <w:r>
        <w:rPr>
          <w:rFonts w:hint="eastAsia" w:ascii="方正仿宋_GB2312" w:hAnsi="方正仿宋_GB2312" w:eastAsia="方正仿宋_GB2312" w:cs="方正仿宋_GB2312"/>
          <w:color w:val="auto"/>
          <w:kern w:val="0"/>
          <w:sz w:val="32"/>
          <w:szCs w:val="32"/>
          <w:lang w:val="en-US" w:eastAsia="zh-CN"/>
        </w:rPr>
        <w:t>新托福</w:t>
      </w:r>
      <w:r>
        <w:rPr>
          <w:rFonts w:hint="default" w:ascii="Times New Roman" w:hAnsi="Times New Roman" w:eastAsia="方正仿宋_GB2312" w:cs="Times New Roman"/>
          <w:color w:val="auto"/>
          <w:kern w:val="0"/>
          <w:sz w:val="32"/>
          <w:szCs w:val="32"/>
          <w:lang w:val="en-US" w:eastAsia="zh-CN"/>
        </w:rPr>
        <w:t>4.5</w:t>
      </w:r>
      <w:r>
        <w:rPr>
          <w:rFonts w:hint="eastAsia" w:ascii="方正仿宋_GB2312" w:hAnsi="方正仿宋_GB2312" w:eastAsia="方正仿宋_GB2312" w:cs="方正仿宋_GB2312"/>
          <w:color w:val="auto"/>
          <w:kern w:val="0"/>
          <w:sz w:val="32"/>
          <w:szCs w:val="32"/>
          <w:lang w:val="en-US" w:eastAsia="zh-CN"/>
        </w:rPr>
        <w:t>及以上</w:t>
      </w:r>
      <w:r>
        <w:rPr>
          <w:rFonts w:hint="eastAsia" w:ascii="方正仿宋_GB2312" w:hAnsi="方正仿宋_GB2312" w:eastAsia="方正仿宋_GB2312" w:cs="方正仿宋_GB2312"/>
          <w:color w:val="auto"/>
          <w:kern w:val="0"/>
          <w:sz w:val="32"/>
          <w:szCs w:val="32"/>
        </w:rPr>
        <w:t>。</w:t>
      </w:r>
    </w:p>
    <w:p w14:paraId="233CA499">
      <w:pPr>
        <w:ind w:firstLine="640" w:firstLineChars="200"/>
        <w:rPr>
          <w:rFonts w:hint="default" w:ascii="方正仿宋_GB2312" w:hAnsi="方正仿宋_GB2312" w:eastAsia="方正仿宋_GB2312" w:cs="方正仿宋_GB2312"/>
          <w:kern w:val="0"/>
          <w:sz w:val="32"/>
          <w:szCs w:val="32"/>
          <w:lang w:val="en-US" w:eastAsia="zh-CN"/>
        </w:rPr>
      </w:pPr>
      <w:r>
        <w:rPr>
          <w:rFonts w:hint="default" w:ascii="Times New Roman" w:hAnsi="Times New Roman" w:eastAsia="方正仿宋_GB2312" w:cs="Times New Roman"/>
          <w:kern w:val="0"/>
          <w:sz w:val="32"/>
          <w:szCs w:val="32"/>
          <w:lang w:val="en-US" w:eastAsia="zh-CN"/>
        </w:rPr>
        <w:t>2.</w:t>
      </w:r>
      <w:r>
        <w:rPr>
          <w:rFonts w:hint="eastAsia" w:ascii="方正仿宋_GB2312" w:hAnsi="方正仿宋_GB2312" w:eastAsia="方正仿宋_GB2312" w:cs="方正仿宋_GB2312"/>
          <w:kern w:val="0"/>
          <w:sz w:val="32"/>
          <w:szCs w:val="32"/>
          <w:lang w:val="en-US" w:eastAsia="zh-CN"/>
        </w:rPr>
        <w:t>硕博连读</w:t>
      </w:r>
    </w:p>
    <w:p w14:paraId="393BAFE5">
      <w:pPr>
        <w:ind w:firstLine="640" w:firstLineChars="200"/>
        <w:rPr>
          <w:rFonts w:hint="default" w:ascii="方正仿宋_GB2312" w:hAnsi="方正仿宋_GB2312" w:eastAsia="方正仿宋_GB2312" w:cs="方正仿宋_GB2312"/>
          <w:kern w:val="0"/>
          <w:sz w:val="32"/>
          <w:szCs w:val="32"/>
          <w:lang w:val="en-US" w:eastAsia="zh-CN"/>
        </w:rPr>
      </w:pPr>
      <w:r>
        <w:rPr>
          <w:rFonts w:hint="default" w:ascii="方正仿宋_GB2312" w:hAnsi="方正仿宋_GB2312" w:eastAsia="方正仿宋_GB2312" w:cs="方正仿宋_GB2312"/>
          <w:kern w:val="0"/>
          <w:sz w:val="32"/>
          <w:szCs w:val="32"/>
          <w:lang w:val="en-US" w:eastAsia="zh-CN"/>
        </w:rPr>
        <w:t>大学英语六级</w:t>
      </w:r>
      <w:r>
        <w:rPr>
          <w:rFonts w:hint="default" w:ascii="Times New Roman" w:hAnsi="Times New Roman" w:eastAsia="方正仿宋_GB2312" w:cs="Times New Roman"/>
          <w:kern w:val="0"/>
          <w:sz w:val="32"/>
          <w:szCs w:val="32"/>
          <w:lang w:val="en-US" w:eastAsia="zh-CN"/>
        </w:rPr>
        <w:t>460</w:t>
      </w:r>
      <w:r>
        <w:rPr>
          <w:rFonts w:hint="default" w:ascii="方正仿宋_GB2312" w:hAnsi="方正仿宋_GB2312" w:eastAsia="方正仿宋_GB2312" w:cs="方正仿宋_GB2312"/>
          <w:kern w:val="0"/>
          <w:sz w:val="32"/>
          <w:szCs w:val="32"/>
          <w:lang w:val="en-US" w:eastAsia="zh-CN"/>
        </w:rPr>
        <w:t>及以上或</w:t>
      </w:r>
      <w:r>
        <w:rPr>
          <w:rFonts w:hint="default" w:ascii="Times New Roman" w:hAnsi="Times New Roman" w:eastAsia="方正仿宋_GB2312" w:cs="Times New Roman"/>
          <w:kern w:val="0"/>
          <w:sz w:val="32"/>
          <w:szCs w:val="32"/>
          <w:lang w:val="en-US" w:eastAsia="zh-CN"/>
        </w:rPr>
        <w:t>WSK（PETS 5）</w:t>
      </w:r>
      <w:r>
        <w:rPr>
          <w:rFonts w:hint="default" w:ascii="方正仿宋_GB2312" w:hAnsi="方正仿宋_GB2312" w:eastAsia="方正仿宋_GB2312" w:cs="方正仿宋_GB2312"/>
          <w:kern w:val="0"/>
          <w:sz w:val="32"/>
          <w:szCs w:val="32"/>
          <w:lang w:val="en-US" w:eastAsia="zh-CN"/>
        </w:rPr>
        <w:t>合格或英语专业八级合格</w:t>
      </w:r>
      <w:r>
        <w:rPr>
          <w:rFonts w:hint="eastAsia" w:ascii="Times New Roman" w:hAnsi="Times New Roman" w:eastAsia="仿宋_GB2312" w:cs="Times New Roman"/>
          <w:kern w:val="0"/>
          <w:sz w:val="32"/>
          <w:szCs w:val="32"/>
          <w:lang w:val="en-US" w:eastAsia="zh-CN"/>
        </w:rPr>
        <w:t>（以上成绩有效期五年）</w:t>
      </w:r>
      <w:r>
        <w:rPr>
          <w:rFonts w:hint="default" w:ascii="方正仿宋_GB2312" w:hAnsi="方正仿宋_GB2312" w:eastAsia="方正仿宋_GB2312" w:cs="方正仿宋_GB2312"/>
          <w:kern w:val="0"/>
          <w:sz w:val="32"/>
          <w:szCs w:val="32"/>
          <w:lang w:val="en-US" w:eastAsia="zh-CN"/>
        </w:rPr>
        <w:t>；或雅思</w:t>
      </w:r>
      <w:r>
        <w:rPr>
          <w:rFonts w:hint="default" w:ascii="Times New Roman" w:hAnsi="Times New Roman" w:eastAsia="方正仿宋_GB2312" w:cs="Times New Roman"/>
          <w:kern w:val="0"/>
          <w:sz w:val="32"/>
          <w:szCs w:val="32"/>
          <w:lang w:val="en-US" w:eastAsia="zh-CN"/>
        </w:rPr>
        <w:t>5.5</w:t>
      </w:r>
      <w:r>
        <w:rPr>
          <w:rFonts w:hint="default" w:ascii="方正仿宋_GB2312" w:hAnsi="方正仿宋_GB2312" w:eastAsia="方正仿宋_GB2312" w:cs="方正仿宋_GB2312"/>
          <w:kern w:val="0"/>
          <w:sz w:val="32"/>
          <w:szCs w:val="32"/>
          <w:lang w:val="en-US" w:eastAsia="zh-CN"/>
        </w:rPr>
        <w:t>及以上或托福</w:t>
      </w:r>
      <w:r>
        <w:rPr>
          <w:rFonts w:hint="default" w:ascii="Times New Roman" w:hAnsi="Times New Roman" w:eastAsia="方正仿宋_GB2312" w:cs="Times New Roman"/>
          <w:kern w:val="0"/>
          <w:sz w:val="32"/>
          <w:szCs w:val="32"/>
          <w:lang w:val="en-US" w:eastAsia="zh-CN"/>
        </w:rPr>
        <w:t>80</w:t>
      </w:r>
      <w:r>
        <w:rPr>
          <w:rFonts w:hint="default" w:ascii="方正仿宋_GB2312" w:hAnsi="方正仿宋_GB2312" w:eastAsia="方正仿宋_GB2312" w:cs="方正仿宋_GB2312"/>
          <w:kern w:val="0"/>
          <w:sz w:val="32"/>
          <w:szCs w:val="32"/>
          <w:lang w:val="en-US" w:eastAsia="zh-CN"/>
        </w:rPr>
        <w:t>及以上或新托福</w:t>
      </w:r>
      <w:r>
        <w:rPr>
          <w:rFonts w:hint="default" w:ascii="Times New Roman" w:hAnsi="Times New Roman" w:eastAsia="方正仿宋_GB2312" w:cs="Times New Roman"/>
          <w:kern w:val="0"/>
          <w:sz w:val="32"/>
          <w:szCs w:val="32"/>
          <w:lang w:val="en-US" w:eastAsia="zh-CN"/>
        </w:rPr>
        <w:t>4.5</w:t>
      </w:r>
      <w:r>
        <w:rPr>
          <w:rFonts w:hint="default" w:ascii="方正仿宋_GB2312" w:hAnsi="方正仿宋_GB2312" w:eastAsia="方正仿宋_GB2312" w:cs="方正仿宋_GB2312"/>
          <w:kern w:val="0"/>
          <w:sz w:val="32"/>
          <w:szCs w:val="32"/>
          <w:lang w:val="en-US" w:eastAsia="zh-CN"/>
        </w:rPr>
        <w:t>及以上；或获得研究生英语课程学分</w:t>
      </w:r>
      <w:r>
        <w:rPr>
          <w:rFonts w:hint="eastAsia" w:ascii="方正仿宋_GB2312" w:hAnsi="方正仿宋_GB2312" w:eastAsia="方正仿宋_GB2312" w:cs="方正仿宋_GB2312"/>
          <w:kern w:val="0"/>
          <w:sz w:val="32"/>
          <w:szCs w:val="32"/>
          <w:lang w:val="en-US" w:eastAsia="zh-CN"/>
        </w:rPr>
        <w:t>。</w:t>
      </w:r>
    </w:p>
    <w:p w14:paraId="037A4D34">
      <w:pPr>
        <w:numPr>
          <w:ilvl w:val="-1"/>
          <w:numId w:val="0"/>
        </w:numPr>
        <w:ind w:firstLine="640" w:firstLineChars="200"/>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3.普通招考</w:t>
      </w:r>
    </w:p>
    <w:p w14:paraId="23F5C813">
      <w:pPr>
        <w:numPr>
          <w:ilvl w:val="-1"/>
          <w:numId w:val="0"/>
        </w:numPr>
        <w:ind w:firstLine="640" w:firstLineChars="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（1）全日制非定向普博生：大学英语六级460及以上或WSK（PETS 5）合格或英语专业八级合格（以上成绩有效期五年）；或雅思5.5及以上或托福80及以上或新托福4.5及以上。</w:t>
      </w:r>
    </w:p>
    <w:p w14:paraId="761805D0">
      <w:pPr>
        <w:widowControl/>
        <w:numPr>
          <w:ilvl w:val="0"/>
          <w:numId w:val="0"/>
        </w:numPr>
        <w:spacing w:line="240" w:lineRule="auto"/>
        <w:ind w:firstLine="640" w:firstLineChars="200"/>
        <w:jc w:val="both"/>
        <w:rPr>
          <w:rFonts w:hint="eastAsia" w:ascii="方正仿宋_GB2312" w:hAnsi="方正仿宋_GB2312" w:eastAsia="方正仿宋_GB2312" w:cs="方正仿宋_GB2312"/>
          <w:kern w:val="0"/>
          <w:sz w:val="32"/>
          <w:szCs w:val="32"/>
        </w:rPr>
      </w:pPr>
      <w:r>
        <w:rPr>
          <w:rFonts w:hint="default" w:ascii="Times New Roman" w:hAnsi="Times New Roman" w:eastAsia="方正仿宋_GB2312" w:cs="Times New Roman"/>
          <w:kern w:val="0"/>
          <w:sz w:val="32"/>
          <w:szCs w:val="32"/>
          <w:lang w:val="en-US" w:eastAsia="zh-CN" w:bidi="ar-SA"/>
        </w:rPr>
        <w:t>（2）</w:t>
      </w:r>
      <w:r>
        <w:rPr>
          <w:rFonts w:hint="eastAsia" w:ascii="Times New Roman" w:hAnsi="Times New Roman" w:eastAsia="仿宋_GB2312"/>
          <w:sz w:val="32"/>
          <w:szCs w:val="32"/>
          <w:highlight w:val="none"/>
        </w:rPr>
        <w:t>“少数民族高层次骨干人才计划”（以下简称“骨干计划”）“对口支援西部地区高校定向培养研究生计划”（以下简称“对口支援高校计划”）“援疆博士师资计划”</w:t>
      </w:r>
      <w:r>
        <w:rPr>
          <w:rFonts w:hint="eastAsia" w:ascii="方正仿宋_GB2312" w:hAnsi="方正仿宋_GB2312" w:eastAsia="方正仿宋_GB2312" w:cs="方正仿宋_GB2312"/>
          <w:kern w:val="0"/>
          <w:sz w:val="32"/>
          <w:szCs w:val="32"/>
        </w:rPr>
        <w:t>等国家专项计划在职定向考生：新大学英语六级</w:t>
      </w:r>
      <w:r>
        <w:rPr>
          <w:rFonts w:hint="default" w:ascii="Times New Roman" w:hAnsi="Times New Roman" w:eastAsia="方正仿宋_GB2312" w:cs="Times New Roman"/>
          <w:kern w:val="0"/>
          <w:sz w:val="32"/>
          <w:szCs w:val="32"/>
        </w:rPr>
        <w:t>426</w:t>
      </w:r>
      <w:r>
        <w:rPr>
          <w:rFonts w:hint="eastAsia" w:ascii="方正仿宋_GB2312" w:hAnsi="方正仿宋_GB2312" w:eastAsia="方正仿宋_GB2312" w:cs="方正仿宋_GB2312"/>
          <w:kern w:val="0"/>
          <w:sz w:val="32"/>
          <w:szCs w:val="32"/>
        </w:rPr>
        <w:t>及以上或旧大学英语六级合格及以上或英语专业八级合格或</w:t>
      </w:r>
      <w:r>
        <w:rPr>
          <w:rFonts w:hint="default" w:ascii="Times New Roman" w:hAnsi="Times New Roman" w:eastAsia="方正仿宋_GB2312" w:cs="Times New Roman"/>
          <w:kern w:val="0"/>
          <w:sz w:val="32"/>
          <w:szCs w:val="32"/>
        </w:rPr>
        <w:t>WSK（PETS 5）</w:t>
      </w:r>
      <w:r>
        <w:rPr>
          <w:rFonts w:hint="eastAsia" w:ascii="方正仿宋_GB2312" w:hAnsi="方正仿宋_GB2312" w:eastAsia="方正仿宋_GB2312" w:cs="方正仿宋_GB2312"/>
          <w:kern w:val="0"/>
          <w:sz w:val="32"/>
          <w:szCs w:val="32"/>
        </w:rPr>
        <w:t>合格或雅思</w:t>
      </w:r>
      <w:r>
        <w:rPr>
          <w:rFonts w:hint="default" w:ascii="Times New Roman" w:hAnsi="Times New Roman" w:eastAsia="方正仿宋_GB2312" w:cs="Times New Roman"/>
          <w:kern w:val="0"/>
          <w:sz w:val="32"/>
          <w:szCs w:val="32"/>
        </w:rPr>
        <w:t>5.5</w:t>
      </w:r>
      <w:r>
        <w:rPr>
          <w:rFonts w:hint="eastAsia" w:ascii="方正仿宋_GB2312" w:hAnsi="方正仿宋_GB2312" w:eastAsia="方正仿宋_GB2312" w:cs="方正仿宋_GB2312"/>
          <w:kern w:val="0"/>
          <w:sz w:val="32"/>
          <w:szCs w:val="32"/>
        </w:rPr>
        <w:t>及以上或托福</w:t>
      </w:r>
      <w:r>
        <w:rPr>
          <w:rFonts w:hint="default" w:ascii="Times New Roman" w:hAnsi="Times New Roman" w:eastAsia="方正仿宋_GB2312" w:cs="Times New Roman"/>
          <w:kern w:val="0"/>
          <w:sz w:val="32"/>
          <w:szCs w:val="32"/>
        </w:rPr>
        <w:t>80</w:t>
      </w:r>
      <w:r>
        <w:rPr>
          <w:rFonts w:hint="eastAsia" w:ascii="方正仿宋_GB2312" w:hAnsi="方正仿宋_GB2312" w:eastAsia="方正仿宋_GB2312" w:cs="方正仿宋_GB2312"/>
          <w:kern w:val="0"/>
          <w:sz w:val="32"/>
          <w:szCs w:val="32"/>
        </w:rPr>
        <w:t>及以上</w:t>
      </w:r>
      <w:r>
        <w:rPr>
          <w:rFonts w:hint="eastAsia" w:ascii="方正仿宋_GB2312" w:hAnsi="方正仿宋_GB2312" w:eastAsia="方正仿宋_GB2312" w:cs="方正仿宋_GB2312"/>
          <w:kern w:val="0"/>
          <w:sz w:val="32"/>
          <w:szCs w:val="32"/>
          <w:lang w:val="en-US" w:eastAsia="zh-CN"/>
        </w:rPr>
        <w:t>或新托福</w:t>
      </w:r>
      <w:r>
        <w:rPr>
          <w:rFonts w:hint="default" w:ascii="Times New Roman" w:hAnsi="Times New Roman" w:eastAsia="方正仿宋_GB2312" w:cs="Times New Roman"/>
          <w:kern w:val="0"/>
          <w:sz w:val="32"/>
          <w:szCs w:val="32"/>
          <w:lang w:val="en-US" w:eastAsia="zh-CN"/>
        </w:rPr>
        <w:t>4.5</w:t>
      </w:r>
      <w:r>
        <w:rPr>
          <w:rFonts w:hint="eastAsia" w:ascii="方正仿宋_GB2312" w:hAnsi="方正仿宋_GB2312" w:eastAsia="方正仿宋_GB2312" w:cs="方正仿宋_GB2312"/>
          <w:kern w:val="0"/>
          <w:sz w:val="32"/>
          <w:szCs w:val="32"/>
          <w:lang w:val="en-US" w:eastAsia="zh-CN"/>
        </w:rPr>
        <w:t>及以上</w:t>
      </w:r>
      <w:r>
        <w:rPr>
          <w:rFonts w:hint="eastAsia" w:ascii="方正仿宋_GB2312" w:hAnsi="方正仿宋_GB2312" w:eastAsia="方正仿宋_GB2312" w:cs="方正仿宋_GB2312"/>
          <w:kern w:val="0"/>
          <w:sz w:val="32"/>
          <w:szCs w:val="32"/>
        </w:rPr>
        <w:t>。</w:t>
      </w:r>
    </w:p>
    <w:p w14:paraId="1055AE57">
      <w:pPr>
        <w:numPr>
          <w:ilvl w:val="-1"/>
          <w:numId w:val="0"/>
        </w:numPr>
        <w:ind w:firstLine="640" w:firstLineChars="0"/>
        <w:rPr>
          <w:rFonts w:ascii="Times New Roman" w:hAnsi="Times New Roman" w:eastAsia="仿宋_GB2312" w:cs="Times New Roman"/>
          <w:kern w:val="0"/>
          <w:sz w:val="32"/>
          <w:szCs w:val="32"/>
          <w:highlight w:val="none"/>
        </w:rPr>
      </w:pPr>
      <w:r>
        <w:rPr>
          <w:rFonts w:ascii="Times New Roman" w:hAnsi="Times New Roman" w:eastAsia="仿宋_GB2312" w:cs="Times New Roman"/>
          <w:kern w:val="0"/>
          <w:sz w:val="32"/>
          <w:szCs w:val="32"/>
          <w:highlight w:val="none"/>
        </w:rPr>
        <w:t>对于未达学院关于外语水平具体规定要求，但其他方面特别优秀的考生，可以经博士生招生委员会推荐，学院研究生招生工作领导小组审核并报学院党政联席会议通过</w:t>
      </w:r>
      <w:r>
        <w:rPr>
          <w:rFonts w:hint="eastAsia" w:ascii="Times New Roman" w:hAnsi="Times New Roman" w:eastAsia="仿宋_GB2312" w:cs="Times New Roman"/>
          <w:kern w:val="0"/>
          <w:sz w:val="32"/>
          <w:szCs w:val="32"/>
          <w:highlight w:val="none"/>
          <w:lang w:val="en-US" w:eastAsia="zh-CN"/>
        </w:rPr>
        <w:t>后</w:t>
      </w:r>
      <w:r>
        <w:rPr>
          <w:rFonts w:ascii="Times New Roman" w:hAnsi="Times New Roman" w:eastAsia="仿宋_GB2312" w:cs="Times New Roman"/>
          <w:kern w:val="0"/>
          <w:sz w:val="32"/>
          <w:szCs w:val="32"/>
          <w:highlight w:val="none"/>
        </w:rPr>
        <w:t>进入综合考核的考生名单。</w:t>
      </w:r>
    </w:p>
    <w:p w14:paraId="24CC1C28">
      <w:pPr>
        <w:ind w:firstLine="640" w:firstLineChars="200"/>
        <w:rPr>
          <w:rFonts w:hint="eastAsia" w:ascii="方正仿宋_GB2312" w:hAnsi="方正仿宋_GB2312" w:eastAsia="方正仿宋_GB2312" w:cs="方正仿宋_GB2312"/>
          <w:kern w:val="0"/>
          <w:sz w:val="32"/>
          <w:szCs w:val="32"/>
          <w:lang w:val="en-US" w:eastAsia="zh-CN"/>
        </w:rPr>
      </w:pPr>
      <w:r>
        <w:rPr>
          <w:rFonts w:hint="eastAsia" w:ascii="方正仿宋_GB2312" w:hAnsi="方正仿宋_GB2312" w:eastAsia="方正仿宋_GB2312" w:cs="方正仿宋_GB2312"/>
          <w:kern w:val="0"/>
          <w:sz w:val="32"/>
          <w:szCs w:val="32"/>
          <w:lang w:val="en-US" w:eastAsia="zh-CN"/>
        </w:rPr>
        <w:t>注：</w:t>
      </w:r>
    </w:p>
    <w:p w14:paraId="53D3156D">
      <w:pPr>
        <w:ind w:firstLine="640" w:firstLineChars="200"/>
        <w:rPr>
          <w:rFonts w:hint="eastAsia" w:ascii="方正仿宋_GB2312" w:hAnsi="方正仿宋_GB2312" w:eastAsia="方正仿宋_GB2312" w:cs="方正仿宋_GB2312"/>
          <w:color w:val="auto"/>
          <w:sz w:val="32"/>
          <w:szCs w:val="32"/>
        </w:rPr>
      </w:pPr>
      <w:r>
        <w:rPr>
          <w:rFonts w:hint="default" w:ascii="Times New Roman" w:hAnsi="Times New Roman" w:eastAsia="方正仿宋_GB2312" w:cs="Times New Roman"/>
          <w:color w:val="auto"/>
          <w:kern w:val="0"/>
          <w:sz w:val="32"/>
          <w:szCs w:val="32"/>
          <w:lang w:val="en-US" w:eastAsia="zh-CN"/>
        </w:rPr>
        <w:t>1.</w:t>
      </w:r>
      <w:r>
        <w:rPr>
          <w:rFonts w:hint="eastAsia" w:ascii="方正仿宋_GB2312" w:hAnsi="方正仿宋_GB2312" w:eastAsia="方正仿宋_GB2312" w:cs="方正仿宋_GB2312"/>
          <w:color w:val="auto"/>
          <w:sz w:val="32"/>
          <w:szCs w:val="32"/>
        </w:rPr>
        <w:t>雅思</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学术类</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和托福成绩不认可以</w:t>
      </w:r>
      <w:r>
        <w:rPr>
          <w:rFonts w:hint="default" w:ascii="Times New Roman" w:hAnsi="Times New Roman" w:eastAsia="方正仿宋_GB2312" w:cs="Times New Roman"/>
          <w:color w:val="auto"/>
          <w:sz w:val="32"/>
          <w:szCs w:val="32"/>
          <w:lang w:val="en-US" w:eastAsia="zh-CN"/>
        </w:rPr>
        <w:t>inhome</w:t>
      </w:r>
      <w:r>
        <w:rPr>
          <w:rFonts w:hint="eastAsia" w:ascii="方正仿宋_GB2312" w:hAnsi="方正仿宋_GB2312" w:eastAsia="方正仿宋_GB2312" w:cs="方正仿宋_GB2312"/>
          <w:color w:val="auto"/>
          <w:sz w:val="32"/>
          <w:szCs w:val="32"/>
        </w:rPr>
        <w:t>方式获得的成绩</w:t>
      </w:r>
      <w:r>
        <w:rPr>
          <w:rFonts w:hint="eastAsia" w:ascii="方正仿宋_GB2312" w:hAnsi="方正仿宋_GB2312" w:eastAsia="方正仿宋_GB2312" w:cs="方正仿宋_GB2312"/>
          <w:color w:val="auto"/>
          <w:sz w:val="32"/>
          <w:szCs w:val="32"/>
          <w:lang w:val="en-US" w:eastAsia="zh-CN"/>
        </w:rPr>
        <w:t>或拼分（含单科重考）成绩</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有效期参照证书的有效期。</w:t>
      </w:r>
    </w:p>
    <w:p w14:paraId="03288FDE">
      <w:pPr>
        <w:ind w:firstLine="640" w:firstLineChars="200"/>
        <w:rPr>
          <w:rFonts w:hint="eastAsia" w:ascii="方正仿宋_GB2312" w:hAnsi="方正仿宋_GB2312" w:eastAsia="方正仿宋_GB2312" w:cs="方正仿宋_GB2312"/>
          <w:sz w:val="32"/>
          <w:szCs w:val="32"/>
          <w:lang w:val="en-US" w:eastAsia="zh-CN"/>
        </w:rPr>
      </w:pPr>
      <w:r>
        <w:rPr>
          <w:rFonts w:hint="default" w:ascii="Times New Roman" w:hAnsi="Times New Roman" w:eastAsia="方正仿宋_GB2312" w:cs="Times New Roman"/>
          <w:sz w:val="32"/>
          <w:szCs w:val="32"/>
          <w:lang w:val="en-US" w:eastAsia="zh-CN"/>
        </w:rPr>
        <w:t>2.</w:t>
      </w:r>
      <w:r>
        <w:rPr>
          <w:rFonts w:hint="eastAsia" w:ascii="方正仿宋_GB2312" w:hAnsi="方正仿宋_GB2312" w:eastAsia="方正仿宋_GB2312" w:cs="方正仿宋_GB2312"/>
          <w:sz w:val="32"/>
          <w:szCs w:val="32"/>
        </w:rPr>
        <w:t>在母语为英语的国家获得前置学历学位证书申请人可免交英语水平证明</w:t>
      </w:r>
      <w:r>
        <w:rPr>
          <w:rFonts w:hint="eastAsia" w:ascii="方正仿宋_GB2312" w:hAnsi="方正仿宋_GB2312" w:eastAsia="方正仿宋_GB2312" w:cs="方正仿宋_GB2312"/>
          <w:sz w:val="32"/>
          <w:szCs w:val="32"/>
          <w:lang w:eastAsia="zh-CN"/>
        </w:rPr>
        <w:t>。</w:t>
      </w:r>
    </w:p>
    <w:p w14:paraId="21E5A874">
      <w:pPr>
        <w:ind w:firstLine="640" w:firstLineChars="200"/>
        <w:rPr>
          <w:rFonts w:hint="eastAsia" w:asciiTheme="minorEastAsia" w:hAnsiTheme="minorEastAsia"/>
          <w:sz w:val="24"/>
          <w:szCs w:val="24"/>
        </w:rPr>
      </w:pPr>
      <w:r>
        <w:rPr>
          <w:rFonts w:hint="eastAsia" w:ascii="方正仿宋_GB2312" w:hAnsi="方正仿宋_GB2312" w:eastAsia="方正仿宋_GB2312" w:cs="方正仿宋_GB2312"/>
          <w:sz w:val="32"/>
          <w:szCs w:val="32"/>
        </w:rPr>
        <w:t>浙江大学认可的母语为英语的国家为：美属萨摩亚、澳大利亚、巴哈马、巴巴多斯、贝利兹、博茨瓦纳、加拿大、斐济、直布罗陀、加纳、圭亚那、爱尔兰、牙买加、肯尼亚、莱索托、利比里亚、新西兰、尼日利亚、巴布亚新几内亚、新加坡、所罗门群岛、南非、冈比亚、汤加、英国、美国、赞比亚、津巴布韦。</w:t>
      </w:r>
    </w:p>
    <w:p w14:paraId="558B5D6E">
      <w:pPr>
        <w:ind w:firstLine="640" w:firstLineChars="200"/>
        <w:rPr>
          <w:rFonts w:hint="eastAsia" w:ascii="方正仿宋_GB2312" w:hAnsi="方正仿宋_GB2312" w:eastAsia="方正仿宋_GB2312" w:cs="方正仿宋_GB2312"/>
          <w:sz w:val="32"/>
          <w:szCs w:val="32"/>
          <w:lang w:eastAsia="zh-CN"/>
        </w:rPr>
      </w:pPr>
      <w:r>
        <w:rPr>
          <w:rFonts w:hint="default" w:ascii="Times New Roman" w:hAnsi="Times New Roman" w:eastAsia="方正仿宋_GB2312" w:cs="Times New Roman"/>
          <w:sz w:val="32"/>
          <w:szCs w:val="32"/>
          <w:lang w:val="en-US" w:eastAsia="zh-CN"/>
        </w:rPr>
        <w:t>3</w:t>
      </w:r>
      <w:r>
        <w:rPr>
          <w:rFonts w:hint="default" w:ascii="Times New Roman" w:hAnsi="Times New Roman" w:eastAsia="方正仿宋_GB2312" w:cs="Times New Roman"/>
          <w:sz w:val="32"/>
          <w:szCs w:val="32"/>
        </w:rPr>
        <w:t>.</w:t>
      </w:r>
      <w:r>
        <w:rPr>
          <w:rFonts w:hint="eastAsia" w:ascii="方正仿宋_GB2312" w:hAnsi="方正仿宋_GB2312" w:eastAsia="方正仿宋_GB2312" w:cs="方正仿宋_GB2312"/>
          <w:sz w:val="32"/>
          <w:szCs w:val="32"/>
        </w:rPr>
        <w:t>在母语非英语的国家获得前置学历学位证书申请人，</w:t>
      </w:r>
      <w:r>
        <w:rPr>
          <w:rFonts w:hint="eastAsia" w:ascii="方正仿宋_GB2312" w:hAnsi="方正仿宋_GB2312" w:eastAsia="方正仿宋_GB2312" w:cs="方正仿宋_GB2312"/>
          <w:sz w:val="32"/>
          <w:szCs w:val="32"/>
          <w:lang w:val="en-US" w:eastAsia="zh-CN"/>
        </w:rPr>
        <w:t>须</w:t>
      </w:r>
      <w:r>
        <w:rPr>
          <w:rFonts w:hint="eastAsia" w:ascii="方正仿宋_GB2312" w:hAnsi="方正仿宋_GB2312" w:eastAsia="方正仿宋_GB2312" w:cs="方正仿宋_GB2312"/>
          <w:sz w:val="32"/>
          <w:szCs w:val="32"/>
        </w:rPr>
        <w:t>提供在有效期内的英语考试成绩证明</w:t>
      </w:r>
      <w:r>
        <w:rPr>
          <w:rFonts w:hint="eastAsia" w:ascii="方正仿宋_GB2312" w:hAnsi="方正仿宋_GB2312" w:eastAsia="方正仿宋_GB2312" w:cs="方正仿宋_GB2312"/>
          <w:sz w:val="32"/>
          <w:szCs w:val="32"/>
          <w:lang w:eastAsia="zh-CN"/>
        </w:rPr>
        <w:t>。</w:t>
      </w:r>
    </w:p>
    <w:p w14:paraId="00595DF9">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（二）学术水平须符合下列条件之一：</w:t>
      </w:r>
    </w:p>
    <w:p w14:paraId="2822D2AB">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1.直</w:t>
      </w:r>
      <w:r>
        <w:rPr>
          <w:rFonts w:hint="eastAsia" w:ascii="Times New Roman" w:hAnsi="Times New Roman" w:eastAsia="仿宋_GB2312" w:cs="Times New Roman"/>
          <w:kern w:val="0"/>
          <w:sz w:val="32"/>
          <w:szCs w:val="32"/>
          <w:lang w:val="en-US" w:eastAsia="zh-CN"/>
        </w:rPr>
        <w:t>接攻</w:t>
      </w:r>
      <w:r>
        <w:rPr>
          <w:rFonts w:ascii="Times New Roman" w:hAnsi="Times New Roman" w:eastAsia="仿宋_GB2312" w:cs="Times New Roman"/>
          <w:kern w:val="0"/>
          <w:sz w:val="32"/>
          <w:szCs w:val="32"/>
        </w:rPr>
        <w:t>博</w:t>
      </w:r>
    </w:p>
    <w:p w14:paraId="7039D7F3">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应为已取得202</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年推免生资格的优秀应届本科毕业生；或</w:t>
      </w:r>
      <w:r>
        <w:rPr>
          <w:rFonts w:ascii="Times New Roman" w:hAnsi="Times New Roman" w:eastAsia="仿宋_GB2312" w:cs="Times New Roman"/>
          <w:color w:val="auto"/>
          <w:kern w:val="0"/>
          <w:sz w:val="32"/>
          <w:szCs w:val="32"/>
          <w:highlight w:val="none"/>
        </w:rPr>
        <w:t>本科毕业的境外高校原则上同时进入主流世界大学排行前100位，本科期间的平均学分绩点（GPA）原则上不低于3.5（按满分为4分核算）的中国籍优秀应（往）届本科毕业生（应届毕业生应在入学前获得教育部留学服务中心出具的《国（境）外学历学位认证书》）</w:t>
      </w:r>
      <w:r>
        <w:rPr>
          <w:rFonts w:ascii="Times New Roman" w:hAnsi="Times New Roman" w:eastAsia="仿宋_GB2312" w:cs="Times New Roman"/>
          <w:kern w:val="0"/>
          <w:sz w:val="32"/>
          <w:szCs w:val="32"/>
          <w:highlight w:val="none"/>
        </w:rPr>
        <w:t>。</w:t>
      </w:r>
    </w:p>
    <w:p w14:paraId="45E2DD33">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2.硕博连读：已表现出较强的科研能力；完成硕士阶段课程学习；攻读博士学位的专业及课题与硕士阶段的专业及课题密切相关。</w:t>
      </w:r>
    </w:p>
    <w:p w14:paraId="3A473FF2">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w:t>
      </w:r>
      <w:r>
        <w:rPr>
          <w:rFonts w:hint="eastAsia" w:ascii="Times New Roman" w:hAnsi="Times New Roman" w:eastAsia="仿宋_GB2312" w:cs="Times New Roman"/>
          <w:kern w:val="0"/>
          <w:sz w:val="32"/>
          <w:szCs w:val="32"/>
          <w:lang w:val="en-US" w:eastAsia="zh-CN"/>
        </w:rPr>
        <w:t>普通招考</w:t>
      </w:r>
      <w:r>
        <w:rPr>
          <w:rFonts w:ascii="Times New Roman" w:hAnsi="Times New Roman" w:eastAsia="仿宋_GB2312" w:cs="Times New Roman"/>
          <w:kern w:val="0"/>
          <w:sz w:val="32"/>
          <w:szCs w:val="32"/>
        </w:rPr>
        <w:t>：学术研究能力原则上</w:t>
      </w:r>
      <w:r>
        <w:rPr>
          <w:rFonts w:ascii="Times New Roman" w:hAnsi="Times New Roman" w:eastAsia="仿宋_GB2312" w:cs="Times New Roman"/>
          <w:color w:val="auto"/>
          <w:kern w:val="0"/>
          <w:sz w:val="32"/>
          <w:szCs w:val="32"/>
        </w:rPr>
        <w:t>须符合以</w:t>
      </w:r>
      <w:r>
        <w:rPr>
          <w:rFonts w:ascii="Times New Roman" w:hAnsi="Times New Roman" w:eastAsia="仿宋_GB2312" w:cs="Times New Roman"/>
          <w:kern w:val="0"/>
          <w:sz w:val="32"/>
          <w:szCs w:val="32"/>
        </w:rPr>
        <w:t>下任一项（成果应以考生本人为第一作者，或以考生硕士导师为第一作者、考生本人第二作者，在202</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年6月及以后获得方有效）。</w:t>
      </w:r>
    </w:p>
    <w:p w14:paraId="261F3788">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（1）发表（含录用）1篇高质量学术论文。</w:t>
      </w:r>
    </w:p>
    <w:p w14:paraId="20CD92F1">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（2）获得省部级及以上科学技术奖，或授权发明专利1项。</w:t>
      </w:r>
    </w:p>
    <w:p w14:paraId="4F827773">
      <w:pPr>
        <w:ind w:firstLine="640" w:firstLineChars="200"/>
      </w:pPr>
      <w:r>
        <w:rPr>
          <w:rFonts w:ascii="Times New Roman" w:hAnsi="Times New Roman" w:eastAsia="仿宋_GB2312" w:cs="Times New Roman"/>
          <w:color w:val="auto"/>
          <w:kern w:val="0"/>
          <w:sz w:val="32"/>
          <w:szCs w:val="32"/>
          <w:highlight w:val="none"/>
        </w:rPr>
        <w:t>对于未达到学院关于学术</w:t>
      </w:r>
      <w:r>
        <w:rPr>
          <w:rFonts w:hint="eastAsia" w:ascii="Times New Roman" w:hAnsi="Times New Roman" w:eastAsia="仿宋_GB2312" w:cs="Times New Roman"/>
          <w:color w:val="auto"/>
          <w:kern w:val="0"/>
          <w:sz w:val="32"/>
          <w:szCs w:val="32"/>
          <w:highlight w:val="none"/>
          <w:lang w:val="en-US" w:eastAsia="zh-CN"/>
        </w:rPr>
        <w:t>水平</w:t>
      </w:r>
      <w:r>
        <w:rPr>
          <w:rFonts w:ascii="Times New Roman" w:hAnsi="Times New Roman" w:eastAsia="仿宋_GB2312" w:cs="Times New Roman"/>
          <w:color w:val="auto"/>
          <w:kern w:val="0"/>
          <w:sz w:val="32"/>
          <w:szCs w:val="32"/>
          <w:highlight w:val="none"/>
        </w:rPr>
        <w:t>等具体规定要求，但其他方面特别优秀的考生，可以经博士生招生委员会推荐，学院研究生招生工作领导小组审核并报学院党政联席会议通过</w:t>
      </w:r>
      <w:r>
        <w:rPr>
          <w:rFonts w:hint="eastAsia" w:ascii="Times New Roman" w:hAnsi="Times New Roman" w:eastAsia="仿宋_GB2312" w:cs="Times New Roman"/>
          <w:color w:val="auto"/>
          <w:kern w:val="0"/>
          <w:sz w:val="32"/>
          <w:szCs w:val="32"/>
          <w:highlight w:val="none"/>
          <w:lang w:val="en-US" w:eastAsia="zh-CN"/>
        </w:rPr>
        <w:t>后</w:t>
      </w:r>
      <w:r>
        <w:rPr>
          <w:rFonts w:ascii="Times New Roman" w:hAnsi="Times New Roman" w:eastAsia="仿宋_GB2312" w:cs="Times New Roman"/>
          <w:color w:val="auto"/>
          <w:kern w:val="0"/>
          <w:sz w:val="32"/>
          <w:szCs w:val="32"/>
          <w:highlight w:val="none"/>
        </w:rPr>
        <w:t>进入综合考核的考生名单。</w:t>
      </w:r>
    </w:p>
    <w:p w14:paraId="28EB2556">
      <w:pPr>
        <w:ind w:firstLine="640" w:firstLineChars="200"/>
        <w:rPr>
          <w:rFonts w:hint="default" w:eastAsia="仿宋_GB2312"/>
          <w:lang w:val="en-US" w:eastAsia="zh-CN"/>
        </w:rPr>
      </w:pPr>
      <w:r>
        <w:rPr>
          <w:rFonts w:ascii="Times New Roman" w:hAnsi="Times New Roman" w:eastAsia="仿宋_GB2312" w:cs="Times New Roman"/>
          <w:kern w:val="0"/>
          <w:sz w:val="32"/>
          <w:szCs w:val="32"/>
          <w:highlight w:val="none"/>
        </w:rPr>
        <w:t>外语水平</w:t>
      </w:r>
      <w:r>
        <w:rPr>
          <w:rFonts w:hint="eastAsia" w:ascii="Times New Roman" w:hAnsi="Times New Roman" w:eastAsia="仿宋_GB2312" w:cs="Times New Roman"/>
          <w:kern w:val="0"/>
          <w:sz w:val="32"/>
          <w:szCs w:val="32"/>
          <w:highlight w:val="none"/>
          <w:lang w:val="en-US" w:eastAsia="zh-CN"/>
        </w:rPr>
        <w:t>和学术水平均未达到学院规定要求的，不可以进入综合考核的考生名单。</w:t>
      </w:r>
    </w:p>
    <w:p w14:paraId="36A02808">
      <w:pPr>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考生在报考前应确认本人是否符合报考条件，不符合报考条件者将不予录取</w:t>
      </w:r>
      <w:r>
        <w:rPr>
          <w:rFonts w:ascii="Times New Roman" w:hAnsi="Times New Roman" w:eastAsia="仿宋_GB2312" w:cs="Times New Roman"/>
          <w:color w:val="auto"/>
          <w:sz w:val="28"/>
          <w:szCs w:val="28"/>
          <w:shd w:val="clear" w:color="auto" w:fill="FFFFFF"/>
        </w:rPr>
        <w:t>。</w:t>
      </w:r>
      <w:r>
        <w:rPr>
          <w:rFonts w:ascii="Times New Roman" w:hAnsi="Times New Roman" w:eastAsia="仿宋_GB2312" w:cs="Times New Roman"/>
          <w:color w:val="auto"/>
          <w:kern w:val="0"/>
          <w:sz w:val="32"/>
          <w:szCs w:val="32"/>
        </w:rPr>
        <w:t>在报名、材料审核和综合考核过程有不符合报考条件，或提供虚假材料，或其他违规行为的考生，在任何阶段发现查实，即按有关规定取消报考资格，或取消综合考核资格，或取消录取资格，直至取消在校学籍。</w:t>
      </w:r>
    </w:p>
    <w:p w14:paraId="5E1CC80D">
      <w:pPr>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四、报名和材料递交</w:t>
      </w:r>
    </w:p>
    <w:p w14:paraId="064F7D58">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（一）报名时间</w:t>
      </w:r>
    </w:p>
    <w:p w14:paraId="76B02B03">
      <w:pPr>
        <w:pStyle w:val="22"/>
        <w:spacing w:line="600" w:lineRule="exact"/>
        <w:ind w:firstLine="640" w:firstLineChars="200"/>
        <w:rPr>
          <w:rFonts w:hint="eastAsia" w:ascii="楷体_GB2312" w:hAnsi="Times New Roman" w:eastAsia="楷体_GB2312"/>
          <w:sz w:val="32"/>
          <w:szCs w:val="32"/>
          <w:highlight w:val="none"/>
        </w:rPr>
      </w:pPr>
      <w:r>
        <w:rPr>
          <w:rFonts w:hint="eastAsia" w:ascii="楷体_GB2312" w:hAnsi="Times New Roman" w:eastAsia="楷体_GB2312"/>
          <w:sz w:val="32"/>
          <w:szCs w:val="32"/>
          <w:highlight w:val="none"/>
          <w:lang w:val="en-US" w:eastAsia="zh-CN"/>
        </w:rPr>
        <w:t>1.</w:t>
      </w:r>
      <w:r>
        <w:rPr>
          <w:rFonts w:hint="eastAsia" w:ascii="楷体_GB2312" w:hAnsi="Times New Roman" w:eastAsia="楷体_GB2312"/>
          <w:sz w:val="32"/>
          <w:szCs w:val="32"/>
          <w:highlight w:val="none"/>
        </w:rPr>
        <w:t>直接攻博</w:t>
      </w:r>
    </w:p>
    <w:p w14:paraId="42D74D88">
      <w:pPr>
        <w:pStyle w:val="22"/>
        <w:spacing w:line="60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获得2027年推荐免试研究生资格的考生，按照教育部及</w:t>
      </w:r>
      <w:r>
        <w:rPr>
          <w:rFonts w:hint="eastAsia" w:ascii="Times New Roman" w:hAnsi="Times New Roman" w:eastAsia="仿宋_GB2312"/>
          <w:sz w:val="32"/>
          <w:szCs w:val="32"/>
          <w:highlight w:val="none"/>
          <w:lang w:val="en-US" w:eastAsia="zh-CN"/>
        </w:rPr>
        <w:t>学院要求</w:t>
      </w:r>
      <w:r>
        <w:rPr>
          <w:rFonts w:hint="eastAsia" w:ascii="Times New Roman" w:hAnsi="Times New Roman" w:eastAsia="仿宋_GB2312"/>
          <w:sz w:val="32"/>
          <w:szCs w:val="32"/>
          <w:highlight w:val="none"/>
        </w:rPr>
        <w:t>，须在规定的时间内登录中国研招网“全国推荐免试攻读研究生（免初试、转段）信息公开管理服务系统”（网址：http://yz.chsi.com.cn/tm）填写报考志愿，并完成系统相应各环节程序。</w:t>
      </w:r>
    </w:p>
    <w:p w14:paraId="6F3C5551">
      <w:pPr>
        <w:pStyle w:val="22"/>
        <w:spacing w:line="60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符合</w:t>
      </w:r>
      <w:r>
        <w:rPr>
          <w:rFonts w:hint="eastAsia" w:ascii="Times New Roman" w:hAnsi="Times New Roman" w:eastAsia="仿宋_GB2312"/>
          <w:sz w:val="32"/>
          <w:szCs w:val="32"/>
          <w:highlight w:val="none"/>
          <w:lang w:val="en-US" w:eastAsia="zh-CN"/>
        </w:rPr>
        <w:t>我院</w:t>
      </w:r>
      <w:r>
        <w:rPr>
          <w:rFonts w:hint="eastAsia" w:ascii="Times New Roman" w:hAnsi="Times New Roman" w:eastAsia="仿宋_GB2312"/>
          <w:sz w:val="32"/>
          <w:szCs w:val="32"/>
          <w:highlight w:val="none"/>
        </w:rPr>
        <w:t>报考条件的境外高校中国籍优秀应（往）届本科毕业生，于2026年10月20日9</w:t>
      </w:r>
      <w:r>
        <w:rPr>
          <w:rFonts w:hint="eastAsia" w:ascii="Times New Roman" w:hAnsi="Times New Roman" w:eastAsia="仿宋_GB2312"/>
          <w:sz w:val="32"/>
          <w:szCs w:val="32"/>
          <w:highlight w:val="none"/>
          <w:lang w:val="en-US" w:eastAsia="zh-CN"/>
        </w:rPr>
        <w:t>:</w:t>
      </w:r>
      <w:r>
        <w:rPr>
          <w:rFonts w:hint="eastAsia" w:ascii="Times New Roman" w:hAnsi="Times New Roman" w:eastAsia="仿宋_GB2312"/>
          <w:sz w:val="32"/>
          <w:szCs w:val="32"/>
          <w:highlight w:val="none"/>
        </w:rPr>
        <w:t>00-2026年11月20日</w:t>
      </w:r>
      <w:r>
        <w:rPr>
          <w:rFonts w:hint="eastAsia" w:ascii="Times New Roman" w:hAnsi="Times New Roman" w:eastAsia="仿宋_GB2312"/>
          <w:sz w:val="32"/>
          <w:szCs w:val="32"/>
          <w:highlight w:val="none"/>
          <w:lang w:val="en-US" w:eastAsia="zh-CN"/>
        </w:rPr>
        <w:t>20:00</w:t>
      </w:r>
      <w:r>
        <w:rPr>
          <w:rFonts w:hint="eastAsia" w:ascii="Times New Roman" w:hAnsi="Times New Roman" w:eastAsia="仿宋_GB2312"/>
          <w:sz w:val="32"/>
          <w:szCs w:val="32"/>
          <w:highlight w:val="none"/>
        </w:rPr>
        <w:t>登录“浙江大学博士研究生报名系统”进行网上报名，具体报名时间和程序详见《浙江大学2027年普通招考博士研究生招生第一次报名通知》。报名阶段只需填报学院、专业、方向，无需选择导师。</w:t>
      </w:r>
    </w:p>
    <w:p w14:paraId="5B91A134">
      <w:pPr>
        <w:pStyle w:val="22"/>
        <w:spacing w:line="600" w:lineRule="exact"/>
        <w:ind w:firstLine="640" w:firstLineChars="200"/>
        <w:rPr>
          <w:rFonts w:hint="eastAsia" w:ascii="楷体_GB2312" w:hAnsi="Times New Roman" w:eastAsia="楷体_GB2312"/>
          <w:sz w:val="32"/>
          <w:szCs w:val="32"/>
          <w:highlight w:val="none"/>
        </w:rPr>
      </w:pPr>
      <w:r>
        <w:rPr>
          <w:rFonts w:hint="eastAsia" w:ascii="楷体_GB2312" w:hAnsi="Times New Roman" w:eastAsia="楷体_GB2312"/>
          <w:sz w:val="32"/>
          <w:szCs w:val="32"/>
          <w:highlight w:val="none"/>
          <w:lang w:val="en-US" w:eastAsia="zh-CN"/>
        </w:rPr>
        <w:t>2.</w:t>
      </w:r>
      <w:r>
        <w:rPr>
          <w:rFonts w:hint="eastAsia" w:ascii="楷体_GB2312" w:hAnsi="Times New Roman" w:eastAsia="楷体_GB2312"/>
          <w:sz w:val="32"/>
          <w:szCs w:val="32"/>
          <w:highlight w:val="none"/>
        </w:rPr>
        <w:t>硕博连读</w:t>
      </w:r>
    </w:p>
    <w:p w14:paraId="1B558068">
      <w:pPr>
        <w:pStyle w:val="22"/>
        <w:spacing w:line="60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硕博连读考生，须登录“浙江大学博士研究生报名系统”进行网上报名</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并向我</w:t>
      </w:r>
      <w:r>
        <w:rPr>
          <w:rFonts w:hint="eastAsia" w:ascii="Times New Roman" w:hAnsi="Times New Roman" w:eastAsia="仿宋_GB2312"/>
          <w:sz w:val="32"/>
          <w:szCs w:val="32"/>
          <w:highlight w:val="none"/>
        </w:rPr>
        <w:t>院递交报考材料。</w:t>
      </w:r>
    </w:p>
    <w:p w14:paraId="32F24447">
      <w:pPr>
        <w:pStyle w:val="22"/>
        <w:spacing w:line="60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网上报名时间安排：</w:t>
      </w:r>
    </w:p>
    <w:p w14:paraId="753255C2">
      <w:pPr>
        <w:pStyle w:val="22"/>
        <w:spacing w:line="60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2026年10月20日9</w:t>
      </w:r>
      <w:r>
        <w:rPr>
          <w:rFonts w:hint="eastAsia" w:ascii="Times New Roman" w:hAnsi="Times New Roman" w:eastAsia="仿宋_GB2312"/>
          <w:sz w:val="32"/>
          <w:szCs w:val="32"/>
          <w:highlight w:val="none"/>
          <w:lang w:val="en-US" w:eastAsia="zh-CN"/>
        </w:rPr>
        <w:t>:</w:t>
      </w:r>
      <w:r>
        <w:rPr>
          <w:rFonts w:hint="eastAsia" w:ascii="Times New Roman" w:hAnsi="Times New Roman" w:eastAsia="仿宋_GB2312"/>
          <w:sz w:val="32"/>
          <w:szCs w:val="32"/>
          <w:highlight w:val="none"/>
        </w:rPr>
        <w:t>00-2026年11月20日</w:t>
      </w:r>
      <w:r>
        <w:rPr>
          <w:rFonts w:hint="eastAsia" w:ascii="Times New Roman" w:hAnsi="Times New Roman" w:eastAsia="仿宋_GB2312"/>
          <w:sz w:val="32"/>
          <w:szCs w:val="32"/>
          <w:highlight w:val="none"/>
          <w:lang w:val="en-US" w:eastAsia="zh-CN"/>
        </w:rPr>
        <w:t>20:00</w:t>
      </w:r>
      <w:r>
        <w:rPr>
          <w:rFonts w:hint="eastAsia" w:ascii="Times New Roman" w:hAnsi="Times New Roman" w:eastAsia="仿宋_GB2312"/>
          <w:sz w:val="32"/>
          <w:szCs w:val="32"/>
          <w:highlight w:val="none"/>
        </w:rPr>
        <w:t>，2027年春季入学硕博连读考生报名；2027年3月中下旬，2027年秋季入学硕博连读考生报名。具体报考程序详见学校和</w:t>
      </w:r>
      <w:r>
        <w:rPr>
          <w:rFonts w:hint="eastAsia" w:ascii="Times New Roman" w:hAnsi="Times New Roman" w:eastAsia="仿宋_GB2312"/>
          <w:sz w:val="32"/>
          <w:szCs w:val="32"/>
          <w:highlight w:val="none"/>
          <w:lang w:val="en-US" w:eastAsia="zh-CN"/>
        </w:rPr>
        <w:t>我院</w:t>
      </w:r>
      <w:r>
        <w:rPr>
          <w:rFonts w:hint="eastAsia" w:ascii="Times New Roman" w:hAnsi="Times New Roman" w:eastAsia="仿宋_GB2312"/>
          <w:sz w:val="32"/>
          <w:szCs w:val="32"/>
          <w:highlight w:val="none"/>
        </w:rPr>
        <w:t>硕博连读考生报名的相关通知。</w:t>
      </w:r>
    </w:p>
    <w:p w14:paraId="2D309222">
      <w:pPr>
        <w:pStyle w:val="22"/>
        <w:spacing w:line="60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“骨干计划”在学硕士研究生只能报考秋季硕博连读生，但须在2026年10月20日9</w:t>
      </w:r>
      <w:r>
        <w:rPr>
          <w:rFonts w:hint="eastAsia" w:ascii="Times New Roman" w:hAnsi="Times New Roman" w:eastAsia="仿宋_GB2312"/>
          <w:sz w:val="32"/>
          <w:szCs w:val="32"/>
          <w:highlight w:val="none"/>
          <w:lang w:val="en-US" w:eastAsia="zh-CN"/>
        </w:rPr>
        <w:t>:</w:t>
      </w:r>
      <w:r>
        <w:rPr>
          <w:rFonts w:hint="eastAsia" w:ascii="Times New Roman" w:hAnsi="Times New Roman" w:eastAsia="仿宋_GB2312"/>
          <w:sz w:val="32"/>
          <w:szCs w:val="32"/>
          <w:highlight w:val="none"/>
        </w:rPr>
        <w:t>00-2026年11月20日</w:t>
      </w:r>
      <w:r>
        <w:rPr>
          <w:rFonts w:hint="eastAsia" w:ascii="Times New Roman" w:hAnsi="Times New Roman" w:eastAsia="仿宋_GB2312"/>
          <w:sz w:val="32"/>
          <w:szCs w:val="32"/>
          <w:highlight w:val="none"/>
          <w:lang w:val="en-US" w:eastAsia="zh-CN"/>
        </w:rPr>
        <w:t>20:00</w:t>
      </w:r>
      <w:r>
        <w:rPr>
          <w:rFonts w:hint="eastAsia" w:ascii="Times New Roman" w:hAnsi="Times New Roman" w:eastAsia="仿宋_GB2312"/>
          <w:sz w:val="32"/>
          <w:szCs w:val="32"/>
          <w:highlight w:val="none"/>
        </w:rPr>
        <w:t>期间报名，与普通招考的“骨干计划”考生一同考核，择优录取。</w:t>
      </w:r>
    </w:p>
    <w:p w14:paraId="205B92BD">
      <w:pPr>
        <w:pStyle w:val="22"/>
        <w:spacing w:line="600" w:lineRule="exact"/>
        <w:ind w:firstLine="640" w:firstLineChars="200"/>
        <w:rPr>
          <w:rFonts w:hint="eastAsia" w:ascii="楷体_GB2312" w:hAnsi="Times New Roman" w:eastAsia="楷体_GB2312"/>
          <w:sz w:val="32"/>
          <w:szCs w:val="32"/>
          <w:highlight w:val="none"/>
        </w:rPr>
      </w:pPr>
      <w:r>
        <w:rPr>
          <w:rFonts w:hint="eastAsia" w:ascii="楷体_GB2312" w:hAnsi="Times New Roman" w:eastAsia="楷体_GB2312"/>
          <w:sz w:val="32"/>
          <w:szCs w:val="32"/>
          <w:highlight w:val="none"/>
          <w:lang w:val="en-US" w:eastAsia="zh-CN"/>
        </w:rPr>
        <w:t>3.</w:t>
      </w:r>
      <w:r>
        <w:rPr>
          <w:rFonts w:hint="eastAsia" w:ascii="楷体_GB2312" w:hAnsi="Times New Roman" w:eastAsia="楷体_GB2312"/>
          <w:sz w:val="32"/>
          <w:szCs w:val="32"/>
          <w:highlight w:val="none"/>
        </w:rPr>
        <w:t>普通招考</w:t>
      </w:r>
    </w:p>
    <w:p w14:paraId="3CABAF5E">
      <w:pPr>
        <w:pStyle w:val="22"/>
        <w:spacing w:line="60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普通招考考生须登录“浙江大学博士研究生报名系统”进行网上报名，报名阶段只需填报学院、专业、方向，无需选择导师。向</w:t>
      </w:r>
      <w:r>
        <w:rPr>
          <w:rFonts w:hint="eastAsia" w:ascii="Times New Roman" w:hAnsi="Times New Roman" w:eastAsia="仿宋_GB2312"/>
          <w:sz w:val="32"/>
          <w:szCs w:val="32"/>
          <w:highlight w:val="none"/>
          <w:lang w:val="en-US" w:eastAsia="zh-CN"/>
        </w:rPr>
        <w:t>我院</w:t>
      </w:r>
      <w:r>
        <w:rPr>
          <w:rFonts w:hint="eastAsia" w:ascii="Times New Roman" w:hAnsi="Times New Roman" w:eastAsia="仿宋_GB2312"/>
          <w:sz w:val="32"/>
          <w:szCs w:val="32"/>
          <w:highlight w:val="none"/>
        </w:rPr>
        <w:t>递交报考材料。</w:t>
      </w:r>
    </w:p>
    <w:p w14:paraId="78E739F8">
      <w:pPr>
        <w:pStyle w:val="22"/>
        <w:spacing w:line="600" w:lineRule="exact"/>
        <w:ind w:firstLine="640" w:firstLineChars="20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网上报名时间如下：</w:t>
      </w:r>
    </w:p>
    <w:p w14:paraId="13454C72">
      <w:pPr>
        <w:numPr>
          <w:ilvl w:val="-1"/>
          <w:numId w:val="0"/>
        </w:numPr>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sz w:val="32"/>
          <w:szCs w:val="32"/>
          <w:highlight w:val="none"/>
        </w:rPr>
        <w:t>2026年10月20日9</w:t>
      </w:r>
      <w:r>
        <w:rPr>
          <w:rFonts w:hint="eastAsia" w:ascii="Times New Roman" w:hAnsi="Times New Roman" w:eastAsia="仿宋_GB2312"/>
          <w:sz w:val="32"/>
          <w:szCs w:val="32"/>
          <w:highlight w:val="none"/>
          <w:lang w:val="en-US" w:eastAsia="zh-CN"/>
        </w:rPr>
        <w:t>:</w:t>
      </w:r>
      <w:r>
        <w:rPr>
          <w:rFonts w:hint="eastAsia" w:ascii="Times New Roman" w:hAnsi="Times New Roman" w:eastAsia="仿宋_GB2312"/>
          <w:sz w:val="32"/>
          <w:szCs w:val="32"/>
          <w:highlight w:val="none"/>
        </w:rPr>
        <w:t>00-2026年11月20日20:00，普通招考博士研究生第一次报名。全日制非定向博士考生，教育部“骨干计划”“对口支援高校计划”“援疆博士师资计划”“部省合建高校计划”“强军计划”等考生（专项计划及招生人数最终以教育部下达为准）均须在该阶段报名。具体报名时间和程序详见“浙江大学2027年普通招考博士研究生招生第一次报名通知”</w:t>
      </w:r>
      <w:r>
        <w:rPr>
          <w:rFonts w:hint="eastAsia" w:ascii="Times New Roman" w:hAnsi="Times New Roman" w:eastAsia="仿宋_GB2312"/>
          <w:sz w:val="32"/>
          <w:szCs w:val="32"/>
          <w:highlight w:val="none"/>
          <w:lang w:eastAsia="zh-CN"/>
        </w:rPr>
        <w:t>。</w:t>
      </w:r>
    </w:p>
    <w:p w14:paraId="00EC9E3E">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（二）材料递交清单和方式</w:t>
      </w:r>
    </w:p>
    <w:p w14:paraId="66D6AFF6">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1.报名时须递交的材料如下：</w:t>
      </w:r>
    </w:p>
    <w:p w14:paraId="66A2A734">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（1）考生本人身份证正反面复印件。</w:t>
      </w:r>
    </w:p>
    <w:p w14:paraId="281D85D2">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（2）学习成绩单原件（直博生提供本科阶段；硕博连读生提供硕士阶段；普博生提供本科和硕士阶段。须授课单位盖章）。</w:t>
      </w:r>
    </w:p>
    <w:p w14:paraId="50D441EF">
      <w:pPr>
        <w:widowControl/>
        <w:shd w:val="clear" w:color="auto" w:fill="FFFFFF"/>
        <w:ind w:firstLine="640" w:firstLineChars="200"/>
        <w:textAlignment w:val="top"/>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（3）外语水平证明材料复印件。</w:t>
      </w:r>
    </w:p>
    <w:p w14:paraId="073128A3">
      <w:pPr>
        <w:widowControl/>
        <w:shd w:val="clear" w:color="auto" w:fill="FFFFFF"/>
        <w:ind w:firstLine="640" w:firstLineChars="200"/>
        <w:textAlignment w:val="top"/>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（4）能证明科研水平和能力的材料：包括已发表论文的全文及检索证明、录用论文的全文及正式录用函复印件等。</w:t>
      </w:r>
    </w:p>
    <w:p w14:paraId="01A5EFE3">
      <w:pPr>
        <w:widowControl/>
        <w:shd w:val="clear" w:color="auto" w:fill="FFFFFF"/>
        <w:ind w:firstLine="640" w:firstLineChars="200"/>
        <w:textAlignment w:val="top"/>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（5）各类获奖证书复印件。</w:t>
      </w:r>
    </w:p>
    <w:p w14:paraId="7254ABBE">
      <w:pPr>
        <w:ind w:firstLine="640" w:firstLineChars="200"/>
        <w:rPr>
          <w:rFonts w:hint="eastAsia" w:ascii="Times New Roman" w:hAnsi="Times New Roman" w:eastAsia="仿宋_GB2312" w:cs="Times New Roman"/>
          <w:kern w:val="0"/>
          <w:sz w:val="32"/>
          <w:szCs w:val="32"/>
          <w:lang w:eastAsia="zh-CN"/>
        </w:rPr>
      </w:pPr>
      <w:r>
        <w:rPr>
          <w:rFonts w:ascii="Times New Roman" w:hAnsi="Times New Roman" w:eastAsia="仿宋_GB2312" w:cs="Times New Roman"/>
          <w:kern w:val="0"/>
          <w:sz w:val="32"/>
          <w:szCs w:val="32"/>
        </w:rPr>
        <w:t>（6）两封报考学科专业领域内副教授（或相当专业技术职称专家）及以上职称专家的书面推荐信，推荐意见必须由专家本人撰写。（请务必保留原件，复试时提交至学院研究生教育教学办公室）</w:t>
      </w:r>
      <w:r>
        <w:rPr>
          <w:rFonts w:hint="eastAsia" w:ascii="Times New Roman" w:hAnsi="Times New Roman" w:eastAsia="仿宋_GB2312" w:cs="Times New Roman"/>
          <w:kern w:val="0"/>
          <w:sz w:val="32"/>
          <w:szCs w:val="32"/>
        </w:rPr>
        <w:t>（附件3）</w:t>
      </w:r>
      <w:r>
        <w:rPr>
          <w:rFonts w:hint="eastAsia" w:ascii="Times New Roman" w:hAnsi="Times New Roman" w:eastAsia="仿宋_GB2312" w:cs="Times New Roman"/>
          <w:kern w:val="0"/>
          <w:sz w:val="32"/>
          <w:szCs w:val="32"/>
          <w:lang w:eastAsia="zh-CN"/>
        </w:rPr>
        <w:t>。</w:t>
      </w:r>
    </w:p>
    <w:p w14:paraId="324BD016">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（7）硕博连读考生还须递交硕博连读报考表1份（线上报名后导出）。</w:t>
      </w:r>
    </w:p>
    <w:p w14:paraId="1ADCAAAC">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（8）定向就业考生须递交定向单位“同意报考证明”。</w:t>
      </w:r>
    </w:p>
    <w:p w14:paraId="6DB2E348">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（9）普博生还须递交以下材料：</w:t>
      </w:r>
    </w:p>
    <w:p w14:paraId="4FE6C108">
      <w:pPr>
        <w:widowControl/>
        <w:shd w:val="clear" w:color="auto" w:fill="FFFFFF"/>
        <w:ind w:firstLine="640" w:firstLineChars="200"/>
        <w:textAlignment w:val="top"/>
        <w:rPr>
          <w:rFonts w:ascii="Times New Roman" w:hAnsi="Times New Roman" w:eastAsia="仿宋_GB2312" w:cs="Times New Roman"/>
          <w:kern w:val="0"/>
          <w:sz w:val="32"/>
          <w:szCs w:val="32"/>
        </w:rPr>
      </w:pPr>
      <w:r>
        <w:rPr>
          <w:rFonts w:ascii="Cambria Math" w:hAnsi="Cambria Math" w:eastAsia="仿宋_GB2312" w:cs="Cambria Math"/>
          <w:kern w:val="0"/>
          <w:sz w:val="32"/>
          <w:szCs w:val="32"/>
        </w:rPr>
        <w:t>①</w:t>
      </w:r>
      <w:r>
        <w:rPr>
          <w:rFonts w:ascii="Times New Roman" w:hAnsi="Times New Roman" w:eastAsia="仿宋_GB2312" w:cs="Times New Roman"/>
          <w:kern w:val="0"/>
          <w:sz w:val="32"/>
          <w:szCs w:val="32"/>
        </w:rPr>
        <w:t>浙江大学电气工程学院202</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级博士生报考材料清单（附件1）。</w:t>
      </w:r>
    </w:p>
    <w:p w14:paraId="71C33A8D">
      <w:pPr>
        <w:widowControl/>
        <w:shd w:val="clear" w:color="auto" w:fill="FFFFFF"/>
        <w:ind w:firstLine="640" w:firstLineChars="200"/>
        <w:textAlignment w:val="top"/>
        <w:rPr>
          <w:rFonts w:ascii="Times New Roman" w:hAnsi="Times New Roman" w:eastAsia="仿宋_GB2312" w:cs="Times New Roman"/>
          <w:kern w:val="0"/>
          <w:sz w:val="32"/>
          <w:szCs w:val="32"/>
        </w:rPr>
      </w:pPr>
      <w:r>
        <w:rPr>
          <w:rFonts w:ascii="Cambria Math" w:hAnsi="Cambria Math" w:eastAsia="仿宋_GB2312" w:cs="Cambria Math"/>
          <w:kern w:val="0"/>
          <w:sz w:val="32"/>
          <w:szCs w:val="32"/>
        </w:rPr>
        <w:t>②</w:t>
      </w:r>
      <w:r>
        <w:rPr>
          <w:rFonts w:ascii="Times New Roman" w:hAnsi="Times New Roman" w:eastAsia="仿宋_GB2312" w:cs="Times New Roman"/>
          <w:kern w:val="0"/>
          <w:sz w:val="32"/>
          <w:szCs w:val="32"/>
        </w:rPr>
        <w:t>浙江大学电气工程学院202</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级博士生招生报考表（附件2）。</w:t>
      </w:r>
    </w:p>
    <w:p w14:paraId="54EF43C4">
      <w:pPr>
        <w:widowControl/>
        <w:shd w:val="clear" w:color="auto" w:fill="FFFFFF"/>
        <w:ind w:firstLine="640" w:firstLineChars="200"/>
        <w:textAlignment w:val="top"/>
        <w:rPr>
          <w:rFonts w:ascii="Times New Roman" w:hAnsi="Times New Roman" w:eastAsia="仿宋_GB2312" w:cs="Times New Roman"/>
          <w:kern w:val="0"/>
          <w:sz w:val="32"/>
          <w:szCs w:val="32"/>
        </w:rPr>
      </w:pPr>
      <w:r>
        <w:rPr>
          <w:rFonts w:ascii="Cambria Math" w:hAnsi="Cambria Math" w:eastAsia="仿宋_GB2312" w:cs="Cambria Math"/>
          <w:kern w:val="0"/>
          <w:sz w:val="32"/>
          <w:szCs w:val="32"/>
        </w:rPr>
        <w:t>③</w:t>
      </w:r>
      <w:r>
        <w:rPr>
          <w:rFonts w:ascii="Times New Roman" w:hAnsi="Times New Roman" w:eastAsia="仿宋_GB2312" w:cs="Times New Roman"/>
          <w:kern w:val="0"/>
          <w:sz w:val="32"/>
          <w:szCs w:val="32"/>
        </w:rPr>
        <w:t>浙江大学电气工程学院202</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级博士生招生个人业绩汇总表（附件4，扫二维码填写问卷）。</w:t>
      </w:r>
    </w:p>
    <w:p w14:paraId="623E7453">
      <w:pPr>
        <w:widowControl/>
        <w:shd w:val="clear" w:color="auto" w:fill="FFFFFF"/>
        <w:ind w:firstLine="640" w:firstLineChars="200"/>
        <w:textAlignment w:val="top"/>
        <w:rPr>
          <w:rFonts w:ascii="Times New Roman" w:hAnsi="Times New Roman" w:eastAsia="仿宋_GB2312" w:cs="Times New Roman"/>
          <w:kern w:val="0"/>
          <w:sz w:val="32"/>
          <w:szCs w:val="32"/>
        </w:rPr>
      </w:pPr>
      <w:r>
        <w:rPr>
          <w:rFonts w:ascii="Cambria Math" w:hAnsi="Cambria Math" w:eastAsia="仿宋_GB2312" w:cs="Cambria Math"/>
          <w:kern w:val="0"/>
          <w:sz w:val="32"/>
          <w:szCs w:val="32"/>
        </w:rPr>
        <w:t>④</w:t>
      </w:r>
      <w:r>
        <w:rPr>
          <w:rFonts w:ascii="Times New Roman" w:hAnsi="Times New Roman" w:eastAsia="仿宋_GB2312" w:cs="Times New Roman"/>
          <w:kern w:val="0"/>
          <w:sz w:val="32"/>
          <w:szCs w:val="32"/>
        </w:rPr>
        <w:t>硕士学位论文全文以及对论文特色自我评述（应届硕士毕业生如果没有论文全稿，可提供研究计划、方案以及主要成果，并由硕士导师签字认可）。</w:t>
      </w:r>
    </w:p>
    <w:p w14:paraId="29D9E28F">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fldChar w:fldCharType="begin"/>
      </w:r>
      <w:r>
        <w:rPr>
          <w:rFonts w:ascii="Times New Roman" w:hAnsi="Times New Roman" w:eastAsia="仿宋_GB2312" w:cs="Times New Roman"/>
          <w:kern w:val="0"/>
          <w:sz w:val="32"/>
          <w:szCs w:val="32"/>
        </w:rPr>
        <w:instrText xml:space="preserve"> = 5 \* GB3 </w:instrText>
      </w:r>
      <w:r>
        <w:rPr>
          <w:rFonts w:ascii="Times New Roman" w:hAnsi="Times New Roman" w:eastAsia="仿宋_GB2312" w:cs="Times New Roman"/>
          <w:kern w:val="0"/>
          <w:sz w:val="32"/>
          <w:szCs w:val="32"/>
        </w:rPr>
        <w:fldChar w:fldCharType="separate"/>
      </w:r>
      <w:r>
        <w:rPr>
          <w:rFonts w:ascii="Cambria Math" w:hAnsi="Cambria Math" w:eastAsia="仿宋_GB2312" w:cs="Cambria Math"/>
          <w:kern w:val="0"/>
          <w:sz w:val="32"/>
          <w:szCs w:val="32"/>
        </w:rPr>
        <w:t>⑤</w:t>
      </w:r>
      <w:r>
        <w:rPr>
          <w:rFonts w:ascii="Times New Roman" w:hAnsi="Times New Roman" w:eastAsia="仿宋_GB2312" w:cs="Times New Roman"/>
          <w:kern w:val="0"/>
          <w:sz w:val="32"/>
          <w:szCs w:val="32"/>
        </w:rPr>
        <w:fldChar w:fldCharType="end"/>
      </w:r>
      <w:r>
        <w:rPr>
          <w:rFonts w:ascii="Times New Roman" w:hAnsi="Times New Roman" w:eastAsia="仿宋_GB2312" w:cs="Times New Roman"/>
          <w:kern w:val="0"/>
          <w:sz w:val="32"/>
          <w:szCs w:val="32"/>
        </w:rPr>
        <w:t>前置学位证书在线验证报告或学位认证报告（下载网址：</w:t>
      </w:r>
      <w:bookmarkStart w:id="0" w:name="OLE_LINK2"/>
      <w:bookmarkStart w:id="1" w:name="OLE_LINK1"/>
      <w:r>
        <w:rPr>
          <w:rFonts w:ascii="Times New Roman" w:hAnsi="Times New Roman" w:eastAsia="仿宋_GB2312" w:cs="Times New Roman"/>
          <w:kern w:val="0"/>
          <w:sz w:val="32"/>
          <w:szCs w:val="32"/>
        </w:rPr>
        <w:t>https://www.chsi.com.cn/xwcx/index.jsp</w:t>
      </w:r>
      <w:bookmarkEnd w:id="0"/>
      <w:bookmarkEnd w:id="1"/>
      <w:r>
        <w:rPr>
          <w:rFonts w:ascii="Times New Roman" w:hAnsi="Times New Roman" w:eastAsia="仿宋_GB2312" w:cs="Times New Roman"/>
          <w:kern w:val="0"/>
          <w:sz w:val="32"/>
          <w:szCs w:val="32"/>
        </w:rPr>
        <w:t>）和前置学历证书电子注册备案表或学历认证报告（下载网址：https://www.chsi.com.cn/xlcx/index.jsp）（应届硕士毕业生报名时须提交所在培养单位出具的在读证明或学信网下载的学籍电子注册备案表）；学历学位证书在国（境）外院校获得的，报名时须提交由教育部留学服务中心出具的《国（境）外学历学位认证书》复印件。</w:t>
      </w:r>
    </w:p>
    <w:p w14:paraId="29E957E7">
      <w:pPr>
        <w:ind w:firstLine="640" w:firstLineChars="200"/>
        <w:rPr>
          <w:rFonts w:ascii="Times New Roman" w:hAnsi="Times New Roman" w:eastAsia="仿宋_GB2312" w:cs="Times New Roman"/>
          <w:kern w:val="0"/>
          <w:sz w:val="29"/>
          <w:szCs w:val="29"/>
        </w:rPr>
      </w:pPr>
      <w:r>
        <w:rPr>
          <w:rFonts w:ascii="Times New Roman" w:hAnsi="Times New Roman" w:eastAsia="仿宋_GB2312" w:cs="Times New Roman"/>
          <w:kern w:val="0"/>
          <w:sz w:val="32"/>
          <w:szCs w:val="32"/>
        </w:rPr>
        <w:fldChar w:fldCharType="begin"/>
      </w:r>
      <w:r>
        <w:rPr>
          <w:rFonts w:ascii="Times New Roman" w:hAnsi="Times New Roman" w:eastAsia="仿宋_GB2312" w:cs="Times New Roman"/>
          <w:kern w:val="0"/>
          <w:sz w:val="32"/>
          <w:szCs w:val="32"/>
        </w:rPr>
        <w:instrText xml:space="preserve"> = 6 \* GB3 \* MERGEFORMAT </w:instrText>
      </w:r>
      <w:r>
        <w:rPr>
          <w:rFonts w:ascii="Times New Roman" w:hAnsi="Times New Roman" w:eastAsia="仿宋_GB2312" w:cs="Times New Roman"/>
          <w:kern w:val="0"/>
          <w:sz w:val="32"/>
          <w:szCs w:val="32"/>
        </w:rPr>
        <w:fldChar w:fldCharType="separate"/>
      </w:r>
      <w:r>
        <w:rPr>
          <w:rFonts w:ascii="Cambria Math" w:hAnsi="Cambria Math" w:eastAsia="仿宋_GB2312" w:cs="Cambria Math"/>
          <w:kern w:val="0"/>
          <w:sz w:val="32"/>
          <w:szCs w:val="32"/>
        </w:rPr>
        <w:t>⑥</w:t>
      </w:r>
      <w:r>
        <w:rPr>
          <w:rFonts w:ascii="Times New Roman" w:hAnsi="Times New Roman" w:eastAsia="仿宋_GB2312" w:cs="Times New Roman"/>
          <w:kern w:val="0"/>
          <w:sz w:val="32"/>
          <w:szCs w:val="32"/>
        </w:rPr>
        <w:fldChar w:fldCharType="end"/>
      </w:r>
      <w:r>
        <w:rPr>
          <w:rFonts w:ascii="Times New Roman" w:hAnsi="Times New Roman" w:eastAsia="仿宋_GB2312" w:cs="Times New Roman"/>
          <w:kern w:val="0"/>
          <w:sz w:val="32"/>
          <w:szCs w:val="32"/>
        </w:rPr>
        <w:t>在读博士生报考须递交所在培养单位“同意报考”证明。</w:t>
      </w:r>
    </w:p>
    <w:p w14:paraId="10BB8D57">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2.材料递交方式和递交时间</w:t>
      </w:r>
    </w:p>
    <w:p w14:paraId="1F422135">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w:t>
      </w:r>
      <w:r>
        <w:rPr>
          <w:rFonts w:hint="eastAsia" w:ascii="楷体_GB2312" w:hAnsi="Times New Roman" w:eastAsia="楷体_GB2312"/>
          <w:sz w:val="32"/>
          <w:szCs w:val="32"/>
          <w:highlight w:val="none"/>
        </w:rPr>
        <w:t>直接攻博</w:t>
      </w:r>
      <w:r>
        <w:rPr>
          <w:rFonts w:ascii="Times New Roman" w:hAnsi="Times New Roman" w:eastAsia="仿宋_GB2312" w:cs="Times New Roman"/>
          <w:kern w:val="0"/>
          <w:sz w:val="32"/>
          <w:szCs w:val="32"/>
        </w:rPr>
        <w:t>：请在系统报名时上传除专家推荐信外的其他材料，复试时提交纸质材料。</w:t>
      </w:r>
    </w:p>
    <w:p w14:paraId="0675259B">
      <w:pPr>
        <w:widowControl/>
        <w:shd w:val="clear" w:color="auto" w:fill="FFFFFF"/>
        <w:ind w:firstLine="640" w:firstLineChars="200"/>
        <w:textAlignment w:val="top"/>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（2）硕博连读：参照学院通知，于规定时间完成线上报名后将报考材料交学院研究生教育教学办公室。</w:t>
      </w:r>
    </w:p>
    <w:p w14:paraId="37B7C240">
      <w:pPr>
        <w:widowControl/>
        <w:shd w:val="clear" w:color="auto" w:fill="FFFFFF"/>
        <w:ind w:firstLine="640" w:firstLineChars="200"/>
        <w:textAlignment w:val="top"/>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w:t>
      </w:r>
      <w:r>
        <w:rPr>
          <w:rFonts w:hint="eastAsia" w:ascii="楷体_GB2312" w:hAnsi="Times New Roman" w:eastAsia="楷体_GB2312"/>
          <w:sz w:val="32"/>
          <w:szCs w:val="32"/>
          <w:highlight w:val="none"/>
        </w:rPr>
        <w:t>普通招考</w:t>
      </w:r>
      <w:r>
        <w:rPr>
          <w:rFonts w:ascii="Times New Roman" w:hAnsi="Times New Roman" w:eastAsia="仿宋_GB2312" w:cs="Times New Roman"/>
          <w:kern w:val="0"/>
          <w:sz w:val="32"/>
          <w:szCs w:val="32"/>
        </w:rPr>
        <w:t>：已在浙江大学博士生报名系统完成报名的考生，请在202</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年12月1日前提交相关报考材料，邮寄以12月1日之前邮戳为准，逾期不予受理（为防止材料丢失，只接受EMS寄送）。</w:t>
      </w:r>
    </w:p>
    <w:p w14:paraId="315A8E09">
      <w:pPr>
        <w:widowControl/>
        <w:shd w:val="clear" w:color="auto" w:fill="FFFFFF"/>
        <w:ind w:firstLine="640" w:firstLineChars="200"/>
        <w:textAlignment w:val="top"/>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邮寄地址：浙江省杭州市浙大路38号浙江大学玉泉校区教</w:t>
      </w:r>
      <w:r>
        <w:rPr>
          <w:rFonts w:hint="eastAsia" w:ascii="Times New Roman" w:hAnsi="Times New Roman" w:eastAsia="仿宋_GB2312" w:cs="Times New Roman"/>
          <w:kern w:val="0"/>
          <w:sz w:val="32"/>
          <w:szCs w:val="32"/>
          <w:lang w:val="en-US" w:eastAsia="zh-CN"/>
        </w:rPr>
        <w:t>十一-231</w:t>
      </w:r>
      <w:r>
        <w:rPr>
          <w:rFonts w:ascii="Times New Roman" w:hAnsi="Times New Roman" w:eastAsia="仿宋_GB2312" w:cs="Times New Roman"/>
          <w:kern w:val="0"/>
          <w:sz w:val="32"/>
          <w:szCs w:val="32"/>
        </w:rPr>
        <w:t>室 浙江大学玉泉校区电气工程学院研究生教育教学办公室。</w:t>
      </w:r>
    </w:p>
    <w:p w14:paraId="7D28FE77">
      <w:pPr>
        <w:widowControl/>
        <w:shd w:val="clear" w:color="auto" w:fill="FFFFFF"/>
        <w:ind w:firstLine="640" w:firstLineChars="200"/>
        <w:textAlignment w:val="top"/>
        <w:rPr>
          <w:rFonts w:ascii="Times New Roman" w:hAnsi="Times New Roman" w:eastAsia="仿宋_GB2312" w:cs="Times New Roman"/>
          <w:sz w:val="32"/>
          <w:szCs w:val="32"/>
        </w:rPr>
      </w:pPr>
      <w:r>
        <w:rPr>
          <w:rFonts w:ascii="Times New Roman" w:hAnsi="Times New Roman" w:eastAsia="仿宋_GB2312" w:cs="Times New Roman"/>
          <w:sz w:val="32"/>
          <w:szCs w:val="32"/>
        </w:rPr>
        <w:t>邮编：310027</w:t>
      </w:r>
    </w:p>
    <w:p w14:paraId="530254A6">
      <w:pPr>
        <w:widowControl/>
        <w:shd w:val="clear" w:color="auto" w:fill="FFFFFF"/>
        <w:ind w:firstLine="640" w:firstLineChars="200"/>
        <w:textAlignment w:val="top"/>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联系人：</w:t>
      </w:r>
      <w:r>
        <w:rPr>
          <w:rFonts w:hint="eastAsia" w:ascii="Times New Roman" w:hAnsi="Times New Roman" w:eastAsia="仿宋_GB2312" w:cs="Times New Roman"/>
          <w:sz w:val="32"/>
          <w:szCs w:val="32"/>
          <w:lang w:val="en-US" w:eastAsia="zh-CN"/>
        </w:rPr>
        <w:t>许诺</w:t>
      </w:r>
    </w:p>
    <w:p w14:paraId="32D6DD5E">
      <w:pPr>
        <w:widowControl/>
        <w:shd w:val="clear" w:color="auto" w:fill="FFFFFF"/>
        <w:ind w:firstLine="640" w:firstLineChars="200"/>
        <w:textAlignment w:val="top"/>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联系电话：0571-87951691 </w:t>
      </w:r>
    </w:p>
    <w:p w14:paraId="2EFAEB41">
      <w:pPr>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sz w:val="32"/>
          <w:szCs w:val="32"/>
          <w:highlight w:val="none"/>
        </w:rPr>
        <w:t>非全日制工程博士考生的材料递交时间、方式和要求详见“浙江大学2027年非全日制工程博士招生简章”</w:t>
      </w:r>
      <w:r>
        <w:rPr>
          <w:rFonts w:hint="eastAsia" w:ascii="Times New Roman" w:hAnsi="Times New Roman" w:eastAsia="仿宋_GB2312"/>
          <w:sz w:val="32"/>
          <w:szCs w:val="32"/>
          <w:highlight w:val="none"/>
          <w:lang w:eastAsia="zh-CN"/>
        </w:rPr>
        <w:t>。</w:t>
      </w:r>
    </w:p>
    <w:p w14:paraId="0D0281D0">
      <w:pPr>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五、材料审核和综合考核</w:t>
      </w:r>
    </w:p>
    <w:p w14:paraId="18C56599">
      <w:pPr>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学院按招生专业（方向）分别设置博士生招生委员会，材料审核专家组和综合考核专家组，负责相关材料评审与综合考核事宜。具体请见《电气工程学院博士生招生“申请-考核”选拔机制实施细则》。</w:t>
      </w:r>
    </w:p>
    <w:p w14:paraId="4D32150D">
      <w:pPr>
        <w:ind w:firstLine="640" w:firstLineChars="200"/>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eastAsia="zh-CN"/>
        </w:rPr>
        <w:t>）</w:t>
      </w:r>
      <w:r>
        <w:rPr>
          <w:rFonts w:hint="eastAsia" w:ascii="楷体_GB2312" w:hAnsi="Times New Roman" w:eastAsia="楷体_GB2312"/>
          <w:sz w:val="32"/>
          <w:szCs w:val="32"/>
          <w:highlight w:val="none"/>
        </w:rPr>
        <w:t>直接攻博</w:t>
      </w:r>
    </w:p>
    <w:p w14:paraId="20D3776B">
      <w:pPr>
        <w:ind w:firstLine="640" w:firstLineChars="200"/>
        <w:jc w:val="left"/>
        <w:rPr>
          <w:rFonts w:hint="eastAsia" w:ascii="Times New Roman" w:hAnsi="Times New Roman" w:eastAsia="仿宋_GB2312" w:cs="Times New Roman"/>
          <w:kern w:val="0"/>
          <w:sz w:val="32"/>
          <w:szCs w:val="32"/>
          <w:highlight w:val="none"/>
          <w:lang w:eastAsia="zh-CN"/>
        </w:rPr>
      </w:pPr>
      <w:r>
        <w:rPr>
          <w:rFonts w:hint="eastAsia" w:ascii="Times New Roman" w:hAnsi="Times New Roman" w:eastAsia="仿宋_GB2312"/>
          <w:sz w:val="32"/>
          <w:szCs w:val="32"/>
          <w:highlight w:val="none"/>
        </w:rPr>
        <w:t>获得2027年推荐免试研究生资格的考生，</w:t>
      </w:r>
      <w:r>
        <w:rPr>
          <w:rFonts w:ascii="Times New Roman" w:hAnsi="Times New Roman" w:eastAsia="仿宋_GB2312" w:cs="Times New Roman"/>
          <w:kern w:val="0"/>
          <w:sz w:val="32"/>
          <w:szCs w:val="32"/>
        </w:rPr>
        <w:t>材料审核结果公布和综合考核时间为202</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年9月中下旬</w:t>
      </w:r>
      <w:r>
        <w:rPr>
          <w:rFonts w:hint="eastAsia" w:ascii="Times New Roman" w:hAnsi="Times New Roman" w:eastAsia="仿宋_GB2312" w:cs="Times New Roman"/>
          <w:kern w:val="0"/>
          <w:sz w:val="32"/>
          <w:szCs w:val="32"/>
          <w:highlight w:val="none"/>
          <w:lang w:eastAsia="zh-CN"/>
        </w:rPr>
        <w:t>。</w:t>
      </w:r>
    </w:p>
    <w:p w14:paraId="2977618C">
      <w:pPr>
        <w:ind w:firstLine="640" w:firstLineChars="200"/>
        <w:jc w:val="both"/>
        <w:rPr>
          <w:rFonts w:ascii="Times New Roman" w:hAnsi="Times New Roman" w:eastAsia="仿宋_GB2312" w:cs="Times New Roman"/>
          <w:kern w:val="0"/>
          <w:sz w:val="32"/>
          <w:szCs w:val="32"/>
          <w:highlight w:val="yellow"/>
        </w:rPr>
      </w:pPr>
      <w:r>
        <w:rPr>
          <w:rFonts w:hint="eastAsia" w:ascii="Times New Roman" w:hAnsi="Times New Roman" w:eastAsia="仿宋_GB2312"/>
          <w:sz w:val="32"/>
          <w:szCs w:val="32"/>
          <w:highlight w:val="none"/>
        </w:rPr>
        <w:t>符合招生学院报考条件的境外高校中国籍优秀应（往）届本科毕业生</w:t>
      </w:r>
      <w:r>
        <w:rPr>
          <w:rFonts w:ascii="Times New Roman" w:hAnsi="Times New Roman" w:eastAsia="仿宋_GB2312" w:cs="Times New Roman"/>
          <w:kern w:val="0"/>
          <w:sz w:val="32"/>
          <w:szCs w:val="32"/>
          <w:highlight w:val="none"/>
        </w:rPr>
        <w:t>材料审核结果公布时间为202</w:t>
      </w:r>
      <w:r>
        <w:rPr>
          <w:rFonts w:hint="eastAsia" w:ascii="Times New Roman" w:hAnsi="Times New Roman" w:eastAsia="仿宋_GB2312" w:cs="Times New Roman"/>
          <w:kern w:val="0"/>
          <w:sz w:val="32"/>
          <w:szCs w:val="32"/>
          <w:highlight w:val="none"/>
          <w:lang w:val="en-US" w:eastAsia="zh-CN"/>
        </w:rPr>
        <w:t>7</w:t>
      </w:r>
      <w:r>
        <w:rPr>
          <w:rFonts w:ascii="Times New Roman" w:hAnsi="Times New Roman" w:eastAsia="仿宋_GB2312" w:cs="Times New Roman"/>
          <w:kern w:val="0"/>
          <w:sz w:val="32"/>
          <w:szCs w:val="32"/>
          <w:highlight w:val="none"/>
        </w:rPr>
        <w:t>年1月左右，综合考核时间将于材料审核后另行通知。</w:t>
      </w:r>
    </w:p>
    <w:p w14:paraId="1E050704">
      <w:pPr>
        <w:numPr>
          <w:ilvl w:val="0"/>
          <w:numId w:val="1"/>
        </w:numPr>
        <w:ind w:firstLine="640" w:firstLineChars="200"/>
        <w:jc w:val="left"/>
        <w:rPr>
          <w:rFonts w:ascii="Times New Roman" w:hAnsi="Times New Roman" w:eastAsia="仿宋_GB2312" w:cs="Times New Roman"/>
          <w:kern w:val="0"/>
          <w:sz w:val="32"/>
          <w:szCs w:val="32"/>
          <w:highlight w:val="none"/>
        </w:rPr>
      </w:pPr>
      <w:r>
        <w:rPr>
          <w:rFonts w:ascii="Times New Roman" w:hAnsi="Times New Roman" w:eastAsia="仿宋_GB2312" w:cs="Times New Roman"/>
          <w:kern w:val="0"/>
          <w:sz w:val="32"/>
          <w:szCs w:val="32"/>
          <w:highlight w:val="none"/>
        </w:rPr>
        <w:t>硕博连读考核安排请关注学院相关通知</w:t>
      </w:r>
      <w:r>
        <w:rPr>
          <w:rFonts w:hint="eastAsia" w:ascii="Times New Roman" w:hAnsi="Times New Roman" w:eastAsia="仿宋_GB2312" w:cs="Times New Roman"/>
          <w:kern w:val="0"/>
          <w:sz w:val="32"/>
          <w:szCs w:val="32"/>
          <w:highlight w:val="none"/>
          <w:lang w:eastAsia="zh-CN"/>
        </w:rPr>
        <w:t>。</w:t>
      </w:r>
    </w:p>
    <w:p w14:paraId="63CDBAB7">
      <w:pPr>
        <w:numPr>
          <w:ilvl w:val="0"/>
          <w:numId w:val="1"/>
        </w:numPr>
        <w:ind w:firstLine="640" w:firstLineChars="200"/>
        <w:jc w:val="left"/>
        <w:rPr>
          <w:rFonts w:ascii="Times New Roman" w:hAnsi="Times New Roman" w:eastAsia="仿宋_GB2312" w:cs="Times New Roman"/>
          <w:sz w:val="32"/>
          <w:szCs w:val="32"/>
          <w:highlight w:val="none"/>
        </w:rPr>
      </w:pPr>
      <w:r>
        <w:rPr>
          <w:rFonts w:hint="eastAsia" w:ascii="Times New Roman" w:hAnsi="Times New Roman" w:eastAsia="仿宋_GB2312" w:cs="Times New Roman"/>
          <w:kern w:val="0"/>
          <w:sz w:val="32"/>
          <w:szCs w:val="32"/>
          <w:highlight w:val="none"/>
          <w:lang w:val="en-US" w:eastAsia="zh-CN"/>
        </w:rPr>
        <w:t>普通招考</w:t>
      </w:r>
      <w:r>
        <w:rPr>
          <w:rFonts w:ascii="Times New Roman" w:hAnsi="Times New Roman" w:eastAsia="仿宋_GB2312" w:cs="Times New Roman"/>
          <w:kern w:val="0"/>
          <w:sz w:val="32"/>
          <w:szCs w:val="32"/>
          <w:highlight w:val="none"/>
        </w:rPr>
        <w:t>材料审核结果公布时间为202</w:t>
      </w:r>
      <w:r>
        <w:rPr>
          <w:rFonts w:hint="eastAsia" w:ascii="Times New Roman" w:hAnsi="Times New Roman" w:eastAsia="仿宋_GB2312" w:cs="Times New Roman"/>
          <w:kern w:val="0"/>
          <w:sz w:val="32"/>
          <w:szCs w:val="32"/>
          <w:highlight w:val="none"/>
          <w:lang w:val="en-US" w:eastAsia="zh-CN"/>
        </w:rPr>
        <w:t>7</w:t>
      </w:r>
      <w:r>
        <w:rPr>
          <w:rFonts w:ascii="Times New Roman" w:hAnsi="Times New Roman" w:eastAsia="仿宋_GB2312" w:cs="Times New Roman"/>
          <w:kern w:val="0"/>
          <w:sz w:val="32"/>
          <w:szCs w:val="32"/>
          <w:highlight w:val="none"/>
        </w:rPr>
        <w:t>年1月左右，综合考核时间将于材料审核后另行通知。</w:t>
      </w:r>
    </w:p>
    <w:p w14:paraId="085456E1">
      <w:pPr>
        <w:ind w:firstLine="640" w:firstLineChars="200"/>
        <w:rPr>
          <w:rFonts w:ascii="Times New Roman" w:hAnsi="Times New Roman" w:eastAsia="黑体" w:cs="Times New Roman"/>
          <w:sz w:val="32"/>
          <w:szCs w:val="32"/>
        </w:rPr>
      </w:pPr>
      <w:r>
        <w:rPr>
          <w:rFonts w:ascii="Times New Roman" w:hAnsi="Times New Roman" w:eastAsia="黑体" w:cs="Times New Roman"/>
          <w:kern w:val="0"/>
          <w:sz w:val="32"/>
          <w:szCs w:val="32"/>
        </w:rPr>
        <w:t>六、</w:t>
      </w:r>
      <w:r>
        <w:rPr>
          <w:rFonts w:ascii="Times New Roman" w:hAnsi="Times New Roman" w:eastAsia="黑体" w:cs="Times New Roman"/>
          <w:sz w:val="32"/>
          <w:szCs w:val="32"/>
        </w:rPr>
        <w:t>学费</w:t>
      </w:r>
    </w:p>
    <w:p w14:paraId="42F4E440">
      <w:pPr>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全日制博士生学费：1万元/生</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rPr>
        <w:t>年。</w:t>
      </w:r>
    </w:p>
    <w:p w14:paraId="17C71362">
      <w:pPr>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七、咨询联系方式</w:t>
      </w:r>
    </w:p>
    <w:p w14:paraId="2A07DB37">
      <w:pPr>
        <w:widowControl/>
        <w:shd w:val="clear" w:color="auto" w:fill="FFFFFF"/>
        <w:ind w:firstLine="640" w:firstLineChars="200"/>
        <w:textAlignment w:val="top"/>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地址：浙江省杭州市西湖区浙大路38号浙江大学玉泉校区</w:t>
      </w:r>
      <w:r>
        <w:rPr>
          <w:rFonts w:hint="eastAsia" w:ascii="Times New Roman" w:hAnsi="Times New Roman" w:eastAsia="仿宋_GB2312" w:cs="Times New Roman"/>
          <w:sz w:val="32"/>
          <w:szCs w:val="32"/>
          <w:lang w:val="en-US" w:eastAsia="zh-CN"/>
        </w:rPr>
        <w:t>-教十一-231</w:t>
      </w:r>
    </w:p>
    <w:p w14:paraId="27917866">
      <w:pPr>
        <w:widowControl/>
        <w:shd w:val="clear" w:color="auto" w:fill="FFFFFF"/>
        <w:ind w:firstLine="640" w:firstLineChars="200"/>
        <w:textAlignment w:val="top"/>
        <w:rPr>
          <w:rFonts w:ascii="Times New Roman" w:hAnsi="Times New Roman" w:eastAsia="仿宋_GB2312" w:cs="Times New Roman"/>
          <w:sz w:val="32"/>
          <w:szCs w:val="32"/>
        </w:rPr>
      </w:pPr>
      <w:r>
        <w:rPr>
          <w:rFonts w:ascii="Times New Roman" w:hAnsi="Times New Roman" w:eastAsia="仿宋_GB2312" w:cs="Times New Roman"/>
          <w:sz w:val="32"/>
          <w:szCs w:val="32"/>
        </w:rPr>
        <w:t>联系人：</w:t>
      </w:r>
      <w:r>
        <w:rPr>
          <w:rFonts w:hint="eastAsia" w:ascii="Times New Roman" w:hAnsi="Times New Roman" w:eastAsia="仿宋_GB2312" w:cs="Times New Roman"/>
          <w:sz w:val="32"/>
          <w:szCs w:val="32"/>
          <w:lang w:val="en-US" w:eastAsia="zh-CN"/>
        </w:rPr>
        <w:t>许诺</w:t>
      </w:r>
      <w:r>
        <w:rPr>
          <w:rFonts w:ascii="Times New Roman" w:hAnsi="Times New Roman" w:eastAsia="仿宋_GB2312" w:cs="Times New Roman"/>
          <w:sz w:val="32"/>
          <w:szCs w:val="32"/>
        </w:rPr>
        <w:t xml:space="preserve"> 0571-87951691</w:t>
      </w:r>
    </w:p>
    <w:p w14:paraId="7E1DA2F2">
      <w:pPr>
        <w:widowControl/>
        <w:shd w:val="clear" w:color="auto" w:fill="FFFFFF"/>
        <w:ind w:firstLine="640" w:firstLineChars="200"/>
        <w:textAlignment w:val="top"/>
        <w:rPr>
          <w:rFonts w:ascii="Times New Roman" w:hAnsi="Times New Roman" w:eastAsia="仿宋_GB2312" w:cs="Times New Roman"/>
          <w:sz w:val="32"/>
          <w:szCs w:val="32"/>
        </w:rPr>
      </w:pPr>
      <w:r>
        <w:rPr>
          <w:rFonts w:ascii="Times New Roman" w:hAnsi="Times New Roman" w:eastAsia="仿宋_GB2312" w:cs="Times New Roman"/>
          <w:sz w:val="32"/>
          <w:szCs w:val="32"/>
        </w:rPr>
        <w:t>邮箱：</w:t>
      </w:r>
      <w:r>
        <w:fldChar w:fldCharType="begin"/>
      </w:r>
      <w:r>
        <w:instrText xml:space="preserve"> HYPERLINK "mailto:liujing1002@zju.edu.cn" </w:instrText>
      </w:r>
      <w:r>
        <w:fldChar w:fldCharType="separate"/>
      </w:r>
      <w:r>
        <w:rPr>
          <w:rFonts w:ascii="Times New Roman" w:hAnsi="Times New Roman" w:eastAsia="仿宋_GB2312" w:cs="Times New Roman"/>
          <w:sz w:val="32"/>
          <w:szCs w:val="32"/>
        </w:rPr>
        <w:t>ee</w:t>
      </w:r>
      <w:r>
        <w:rPr>
          <w:rFonts w:hint="eastAsia" w:ascii="Times New Roman" w:hAnsi="Times New Roman" w:eastAsia="仿宋_GB2312" w:cs="Times New Roman"/>
          <w:sz w:val="32"/>
          <w:szCs w:val="32"/>
          <w:lang w:val="en-US" w:eastAsia="zh-CN"/>
        </w:rPr>
        <w:t>xunuo</w:t>
      </w:r>
      <w:r>
        <w:rPr>
          <w:rFonts w:ascii="Times New Roman" w:hAnsi="Times New Roman" w:eastAsia="仿宋_GB2312" w:cs="Times New Roman"/>
          <w:sz w:val="32"/>
          <w:szCs w:val="32"/>
        </w:rPr>
        <w:t>@zju.edu.cn</w:t>
      </w:r>
      <w:r>
        <w:rPr>
          <w:rFonts w:ascii="Times New Roman" w:hAnsi="Times New Roman" w:eastAsia="仿宋_GB2312" w:cs="Times New Roman"/>
          <w:sz w:val="32"/>
          <w:szCs w:val="32"/>
        </w:rPr>
        <w:fldChar w:fldCharType="end"/>
      </w:r>
    </w:p>
    <w:p w14:paraId="72F557E9">
      <w:pP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附件1：浙江大学电气工程学院202</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级博士生报考考核材料清单</w:t>
      </w:r>
    </w:p>
    <w:p w14:paraId="125727F7">
      <w:pP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附件2：浙江大学电气工程学院202</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级博士生招生报考表</w:t>
      </w:r>
    </w:p>
    <w:p w14:paraId="3A97ABD5">
      <w:pP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附件3：专家推荐书</w:t>
      </w:r>
    </w:p>
    <w:p w14:paraId="3EC9DDE5">
      <w:pP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附件4：浙江大学电气工程学院202</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级博士生申请个人业绩汇总表（202</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年12月1</w:t>
      </w:r>
      <w:r>
        <w:rPr>
          <w:rFonts w:hint="eastAsia" w:ascii="Times New Roman" w:hAnsi="Times New Roman" w:eastAsia="仿宋_GB2312" w:cs="Times New Roman"/>
          <w:kern w:val="0"/>
          <w:sz w:val="32"/>
          <w:szCs w:val="32"/>
          <w:lang w:val="en-US" w:eastAsia="zh-CN"/>
        </w:rPr>
        <w:t>日</w:t>
      </w:r>
      <w:r>
        <w:rPr>
          <w:rFonts w:ascii="Times New Roman" w:hAnsi="Times New Roman" w:eastAsia="仿宋_GB2312" w:cs="Times New Roman"/>
          <w:kern w:val="0"/>
          <w:sz w:val="32"/>
          <w:szCs w:val="32"/>
        </w:rPr>
        <w:t>前，请扫二维码填写）</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90C1F2-B465-43D6-8B99-758EE89EA7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DC3892BD-5C07-461F-849E-189E0B43C831}"/>
  </w:font>
  <w:font w:name="方正小标宋简体">
    <w:panose1 w:val="02000000000000000000"/>
    <w:charset w:val="86"/>
    <w:family w:val="auto"/>
    <w:pitch w:val="default"/>
    <w:sig w:usb0="A00002BF" w:usb1="184F6CFA" w:usb2="00000012" w:usb3="00000000" w:csb0="00040001" w:csb1="00000000"/>
    <w:embedRegular r:id="rId3" w:fontKey="{FE31E6B0-4242-41B1-B54C-27AD69F6ED9E}"/>
  </w:font>
  <w:font w:name="微软雅黑">
    <w:panose1 w:val="020B0503020204020204"/>
    <w:charset w:val="86"/>
    <w:family w:val="swiss"/>
    <w:pitch w:val="default"/>
    <w:sig w:usb0="80000287" w:usb1="2ACF3C50" w:usb2="00000016" w:usb3="00000000" w:csb0="0004001F" w:csb1="00000000"/>
    <w:embedRegular r:id="rId4" w:fontKey="{FA5F7ABD-0F95-4811-8694-423523CC977B}"/>
  </w:font>
  <w:font w:name="仿宋_GB2312">
    <w:panose1 w:val="02010609030101010101"/>
    <w:charset w:val="86"/>
    <w:family w:val="modern"/>
    <w:pitch w:val="default"/>
    <w:sig w:usb0="00000001" w:usb1="080E0000" w:usb2="00000000" w:usb3="00000000" w:csb0="00040000" w:csb1="00000000"/>
    <w:embedRegular r:id="rId5" w:fontKey="{91A5778C-BE11-48D8-8C24-4B855A1263B3}"/>
  </w:font>
  <w:font w:name="方正仿宋_GB2312">
    <w:panose1 w:val="02000000000000000000"/>
    <w:charset w:val="86"/>
    <w:family w:val="auto"/>
    <w:pitch w:val="default"/>
    <w:sig w:usb0="A00002BF" w:usb1="184F6CFA" w:usb2="00000012" w:usb3="00000000" w:csb0="00040001" w:csb1="00000000"/>
    <w:embedRegular r:id="rId6" w:fontKey="{B2C847F4-7696-40B4-A06F-19C161FC4377}"/>
  </w:font>
  <w:font w:name="楷体_GB2312">
    <w:panose1 w:val="02010609030101010101"/>
    <w:charset w:val="86"/>
    <w:family w:val="modern"/>
    <w:pitch w:val="default"/>
    <w:sig w:usb0="00000001" w:usb1="080E0000" w:usb2="00000000" w:usb3="00000000" w:csb0="00040000" w:csb1="00000000"/>
    <w:embedRegular r:id="rId7" w:fontKey="{1146460F-7D77-40E9-8EBE-8C5871CB9C00}"/>
  </w:font>
  <w:font w:name="Cambria Math">
    <w:panose1 w:val="02040503050406030204"/>
    <w:charset w:val="00"/>
    <w:family w:val="roman"/>
    <w:pitch w:val="default"/>
    <w:sig w:usb0="E00006FF" w:usb1="420024FF" w:usb2="02000000" w:usb3="00000000" w:csb0="2000019F" w:csb1="00000000"/>
    <w:embedRegular r:id="rId8" w:fontKey="{DA1720E3-D171-4A03-8935-797D4064CE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57B5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C055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2C055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7556CB"/>
    <w:multiLevelType w:val="singleLevel"/>
    <w:tmpl w:val="587556C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5ZWYxNGJlM2MzMTE0NTUwZmI0OGJiYWU2Njg0ZGIifQ=="/>
  </w:docVars>
  <w:rsids>
    <w:rsidRoot w:val="007B091B"/>
    <w:rsid w:val="000113B6"/>
    <w:rsid w:val="000129C6"/>
    <w:rsid w:val="0002583D"/>
    <w:rsid w:val="00035BC0"/>
    <w:rsid w:val="00046DAF"/>
    <w:rsid w:val="00052FEF"/>
    <w:rsid w:val="00067C69"/>
    <w:rsid w:val="00075471"/>
    <w:rsid w:val="000903E4"/>
    <w:rsid w:val="000A111A"/>
    <w:rsid w:val="000C06BC"/>
    <w:rsid w:val="000D2258"/>
    <w:rsid w:val="000F1E20"/>
    <w:rsid w:val="000F38A9"/>
    <w:rsid w:val="000F7336"/>
    <w:rsid w:val="0013756C"/>
    <w:rsid w:val="0014376C"/>
    <w:rsid w:val="0015604B"/>
    <w:rsid w:val="001810AE"/>
    <w:rsid w:val="001944B0"/>
    <w:rsid w:val="001A388D"/>
    <w:rsid w:val="001C436F"/>
    <w:rsid w:val="001D63A2"/>
    <w:rsid w:val="001E1001"/>
    <w:rsid w:val="00225624"/>
    <w:rsid w:val="00230D70"/>
    <w:rsid w:val="00241506"/>
    <w:rsid w:val="00265C07"/>
    <w:rsid w:val="00272BF1"/>
    <w:rsid w:val="00276332"/>
    <w:rsid w:val="002816CF"/>
    <w:rsid w:val="002A1F07"/>
    <w:rsid w:val="002A4A9A"/>
    <w:rsid w:val="002D112E"/>
    <w:rsid w:val="002E6C9D"/>
    <w:rsid w:val="002E6F94"/>
    <w:rsid w:val="002E75A5"/>
    <w:rsid w:val="002E761D"/>
    <w:rsid w:val="00315C66"/>
    <w:rsid w:val="003419E8"/>
    <w:rsid w:val="00350C81"/>
    <w:rsid w:val="0035761B"/>
    <w:rsid w:val="00372323"/>
    <w:rsid w:val="00373174"/>
    <w:rsid w:val="00382D2A"/>
    <w:rsid w:val="003958F7"/>
    <w:rsid w:val="003A21BA"/>
    <w:rsid w:val="003C622D"/>
    <w:rsid w:val="003F3A35"/>
    <w:rsid w:val="003F7B45"/>
    <w:rsid w:val="0040334A"/>
    <w:rsid w:val="004269A3"/>
    <w:rsid w:val="0043562A"/>
    <w:rsid w:val="00436CA4"/>
    <w:rsid w:val="004457B5"/>
    <w:rsid w:val="0045691A"/>
    <w:rsid w:val="00472EF8"/>
    <w:rsid w:val="00486F5E"/>
    <w:rsid w:val="00490619"/>
    <w:rsid w:val="0049192C"/>
    <w:rsid w:val="0049656D"/>
    <w:rsid w:val="004A3028"/>
    <w:rsid w:val="004B0E3C"/>
    <w:rsid w:val="004B64FC"/>
    <w:rsid w:val="004B7081"/>
    <w:rsid w:val="004C0116"/>
    <w:rsid w:val="004D2C53"/>
    <w:rsid w:val="004D5EED"/>
    <w:rsid w:val="004D762F"/>
    <w:rsid w:val="00500A30"/>
    <w:rsid w:val="005015D9"/>
    <w:rsid w:val="005147DE"/>
    <w:rsid w:val="005150B0"/>
    <w:rsid w:val="00517B21"/>
    <w:rsid w:val="0053024E"/>
    <w:rsid w:val="0053105A"/>
    <w:rsid w:val="0054673B"/>
    <w:rsid w:val="00550BBC"/>
    <w:rsid w:val="00554BE0"/>
    <w:rsid w:val="0057792D"/>
    <w:rsid w:val="00581834"/>
    <w:rsid w:val="00592FBC"/>
    <w:rsid w:val="005A0DB5"/>
    <w:rsid w:val="005A6C72"/>
    <w:rsid w:val="005B4BA6"/>
    <w:rsid w:val="005B68EE"/>
    <w:rsid w:val="005E3634"/>
    <w:rsid w:val="005F1AF4"/>
    <w:rsid w:val="005F72C7"/>
    <w:rsid w:val="00605A51"/>
    <w:rsid w:val="00612A9F"/>
    <w:rsid w:val="00650AF3"/>
    <w:rsid w:val="00670519"/>
    <w:rsid w:val="00675969"/>
    <w:rsid w:val="00675BCC"/>
    <w:rsid w:val="00676D0B"/>
    <w:rsid w:val="00677F0D"/>
    <w:rsid w:val="00681A7C"/>
    <w:rsid w:val="0068233D"/>
    <w:rsid w:val="006908AC"/>
    <w:rsid w:val="006915F8"/>
    <w:rsid w:val="006A5517"/>
    <w:rsid w:val="006D1638"/>
    <w:rsid w:val="006D4E04"/>
    <w:rsid w:val="006D57FD"/>
    <w:rsid w:val="006E37DE"/>
    <w:rsid w:val="006E762F"/>
    <w:rsid w:val="00700C20"/>
    <w:rsid w:val="0073018A"/>
    <w:rsid w:val="007357F7"/>
    <w:rsid w:val="00744565"/>
    <w:rsid w:val="007530D4"/>
    <w:rsid w:val="007571E8"/>
    <w:rsid w:val="00776472"/>
    <w:rsid w:val="00781C48"/>
    <w:rsid w:val="007851BB"/>
    <w:rsid w:val="00787257"/>
    <w:rsid w:val="007930E2"/>
    <w:rsid w:val="007A0527"/>
    <w:rsid w:val="007B091B"/>
    <w:rsid w:val="007B66E3"/>
    <w:rsid w:val="007B7BFD"/>
    <w:rsid w:val="007E0375"/>
    <w:rsid w:val="007F24E1"/>
    <w:rsid w:val="00822593"/>
    <w:rsid w:val="00822E89"/>
    <w:rsid w:val="00825FE7"/>
    <w:rsid w:val="0083191C"/>
    <w:rsid w:val="008339F9"/>
    <w:rsid w:val="00843609"/>
    <w:rsid w:val="00846A67"/>
    <w:rsid w:val="00880154"/>
    <w:rsid w:val="008810D5"/>
    <w:rsid w:val="00887B5D"/>
    <w:rsid w:val="008C15E1"/>
    <w:rsid w:val="008C5EE9"/>
    <w:rsid w:val="008D23B3"/>
    <w:rsid w:val="008D7C3D"/>
    <w:rsid w:val="008E258E"/>
    <w:rsid w:val="008E593D"/>
    <w:rsid w:val="008F19AD"/>
    <w:rsid w:val="00910793"/>
    <w:rsid w:val="009153D0"/>
    <w:rsid w:val="009225B7"/>
    <w:rsid w:val="009422FF"/>
    <w:rsid w:val="009715A4"/>
    <w:rsid w:val="00987956"/>
    <w:rsid w:val="00991F6F"/>
    <w:rsid w:val="009C0175"/>
    <w:rsid w:val="009E4A09"/>
    <w:rsid w:val="009F1C7C"/>
    <w:rsid w:val="009F6BFF"/>
    <w:rsid w:val="009F718D"/>
    <w:rsid w:val="00A045A2"/>
    <w:rsid w:val="00A13836"/>
    <w:rsid w:val="00A863F8"/>
    <w:rsid w:val="00AB17B8"/>
    <w:rsid w:val="00AE2871"/>
    <w:rsid w:val="00B06E8B"/>
    <w:rsid w:val="00B22C9F"/>
    <w:rsid w:val="00B5482E"/>
    <w:rsid w:val="00B87AF8"/>
    <w:rsid w:val="00BA7530"/>
    <w:rsid w:val="00BB08CC"/>
    <w:rsid w:val="00BB08DF"/>
    <w:rsid w:val="00BB2B60"/>
    <w:rsid w:val="00BB73A0"/>
    <w:rsid w:val="00BD0C53"/>
    <w:rsid w:val="00BD7B7C"/>
    <w:rsid w:val="00BE5CC0"/>
    <w:rsid w:val="00C259CE"/>
    <w:rsid w:val="00C27A5C"/>
    <w:rsid w:val="00C35B07"/>
    <w:rsid w:val="00C4009D"/>
    <w:rsid w:val="00C430C8"/>
    <w:rsid w:val="00C50AA4"/>
    <w:rsid w:val="00C626CB"/>
    <w:rsid w:val="00C82A9E"/>
    <w:rsid w:val="00C92A80"/>
    <w:rsid w:val="00CD0234"/>
    <w:rsid w:val="00CD4C38"/>
    <w:rsid w:val="00CE5A8F"/>
    <w:rsid w:val="00CF0B22"/>
    <w:rsid w:val="00D15BB4"/>
    <w:rsid w:val="00D40D41"/>
    <w:rsid w:val="00D47D73"/>
    <w:rsid w:val="00D57255"/>
    <w:rsid w:val="00D61F1A"/>
    <w:rsid w:val="00D72251"/>
    <w:rsid w:val="00D91C3B"/>
    <w:rsid w:val="00D9761B"/>
    <w:rsid w:val="00DB28B0"/>
    <w:rsid w:val="00DD6990"/>
    <w:rsid w:val="00DF1BE3"/>
    <w:rsid w:val="00DF7D11"/>
    <w:rsid w:val="00E05827"/>
    <w:rsid w:val="00E071CC"/>
    <w:rsid w:val="00E075A4"/>
    <w:rsid w:val="00E2396F"/>
    <w:rsid w:val="00E27337"/>
    <w:rsid w:val="00E64EB1"/>
    <w:rsid w:val="00E83B0E"/>
    <w:rsid w:val="00E92CB9"/>
    <w:rsid w:val="00E9416C"/>
    <w:rsid w:val="00EA459B"/>
    <w:rsid w:val="00EA45DC"/>
    <w:rsid w:val="00EC4A30"/>
    <w:rsid w:val="00ED2048"/>
    <w:rsid w:val="00EF467E"/>
    <w:rsid w:val="00EF6B99"/>
    <w:rsid w:val="00F06343"/>
    <w:rsid w:val="00F16370"/>
    <w:rsid w:val="00F2130F"/>
    <w:rsid w:val="00F2626D"/>
    <w:rsid w:val="00F634F7"/>
    <w:rsid w:val="00F76A05"/>
    <w:rsid w:val="00F81D0F"/>
    <w:rsid w:val="00FA0622"/>
    <w:rsid w:val="00FC3854"/>
    <w:rsid w:val="00FD3665"/>
    <w:rsid w:val="00FD5F4A"/>
    <w:rsid w:val="00FE1A5A"/>
    <w:rsid w:val="05A63ECE"/>
    <w:rsid w:val="07E90A9F"/>
    <w:rsid w:val="13606B82"/>
    <w:rsid w:val="13E12800"/>
    <w:rsid w:val="14285E1C"/>
    <w:rsid w:val="15834F0B"/>
    <w:rsid w:val="168D626B"/>
    <w:rsid w:val="18746CC2"/>
    <w:rsid w:val="1B4B465C"/>
    <w:rsid w:val="230C4F8E"/>
    <w:rsid w:val="25C7239A"/>
    <w:rsid w:val="2A112AD2"/>
    <w:rsid w:val="2B365915"/>
    <w:rsid w:val="2CB522AE"/>
    <w:rsid w:val="30BA3A7D"/>
    <w:rsid w:val="30DE0A94"/>
    <w:rsid w:val="3CDF4F5B"/>
    <w:rsid w:val="3EE649B0"/>
    <w:rsid w:val="3F682ABD"/>
    <w:rsid w:val="3F6F2C7D"/>
    <w:rsid w:val="4ABC4820"/>
    <w:rsid w:val="4BCC0834"/>
    <w:rsid w:val="5C17580C"/>
    <w:rsid w:val="5CF663D1"/>
    <w:rsid w:val="5EEB6A23"/>
    <w:rsid w:val="5F1A1673"/>
    <w:rsid w:val="60CA678B"/>
    <w:rsid w:val="63723557"/>
    <w:rsid w:val="64D934C4"/>
    <w:rsid w:val="70373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annotation subject"/>
    <w:basedOn w:val="2"/>
    <w:next w:val="2"/>
    <w:link w:val="19"/>
    <w:semiHidden/>
    <w:unhideWhenUsed/>
    <w:qFormat/>
    <w:uiPriority w:val="99"/>
    <w:rPr>
      <w:b/>
      <w:bCs/>
    </w:rPr>
  </w:style>
  <w:style w:type="character" w:styleId="10">
    <w:name w:val="FollowedHyperlink"/>
    <w:basedOn w:val="9"/>
    <w:semiHidden/>
    <w:unhideWhenUsed/>
    <w:qFormat/>
    <w:uiPriority w:val="99"/>
    <w:rPr>
      <w:color w:val="954F72" w:themeColor="followedHyperlink"/>
      <w:u w:val="single"/>
      <w14:textFill>
        <w14:solidFill>
          <w14:schemeClr w14:val="folHlink"/>
        </w14:solidFill>
      </w14:textFill>
    </w:rPr>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styleId="12">
    <w:name w:val="annotation reference"/>
    <w:basedOn w:val="9"/>
    <w:semiHidden/>
    <w:unhideWhenUsed/>
    <w:qFormat/>
    <w:uiPriority w:val="99"/>
    <w:rPr>
      <w:sz w:val="21"/>
      <w:szCs w:val="21"/>
    </w:rPr>
  </w:style>
  <w:style w:type="paragraph" w:styleId="13">
    <w:name w:val="List Paragraph"/>
    <w:basedOn w:val="1"/>
    <w:qFormat/>
    <w:uiPriority w:val="34"/>
    <w:pPr>
      <w:ind w:firstLine="420" w:firstLineChars="200"/>
    </w:pPr>
  </w:style>
  <w:style w:type="character" w:customStyle="1" w:styleId="14">
    <w:name w:val="页眉 字符"/>
    <w:basedOn w:val="9"/>
    <w:link w:val="5"/>
    <w:qFormat/>
    <w:uiPriority w:val="99"/>
    <w:rPr>
      <w:sz w:val="18"/>
      <w:szCs w:val="18"/>
    </w:rPr>
  </w:style>
  <w:style w:type="character" w:customStyle="1" w:styleId="15">
    <w:name w:val="页脚 字符"/>
    <w:basedOn w:val="9"/>
    <w:link w:val="4"/>
    <w:qFormat/>
    <w:uiPriority w:val="99"/>
    <w:rPr>
      <w:sz w:val="18"/>
      <w:szCs w:val="18"/>
    </w:rPr>
  </w:style>
  <w:style w:type="character" w:customStyle="1" w:styleId="16">
    <w:name w:val="批注框文本 字符"/>
    <w:basedOn w:val="9"/>
    <w:link w:val="3"/>
    <w:semiHidden/>
    <w:qFormat/>
    <w:uiPriority w:val="99"/>
    <w:rPr>
      <w:sz w:val="18"/>
      <w:szCs w:val="18"/>
    </w:rPr>
  </w:style>
  <w:style w:type="character" w:customStyle="1" w:styleId="17">
    <w:name w:val="apple-converted-space"/>
    <w:basedOn w:val="9"/>
    <w:qFormat/>
    <w:uiPriority w:val="0"/>
  </w:style>
  <w:style w:type="character" w:customStyle="1" w:styleId="18">
    <w:name w:val="批注文字 字符"/>
    <w:basedOn w:val="9"/>
    <w:link w:val="2"/>
    <w:semiHidden/>
    <w:qFormat/>
    <w:uiPriority w:val="99"/>
    <w:rPr>
      <w:kern w:val="2"/>
      <w:sz w:val="21"/>
      <w:szCs w:val="22"/>
    </w:rPr>
  </w:style>
  <w:style w:type="character" w:customStyle="1" w:styleId="19">
    <w:name w:val="批注主题 字符"/>
    <w:basedOn w:val="18"/>
    <w:link w:val="7"/>
    <w:semiHidden/>
    <w:qFormat/>
    <w:uiPriority w:val="99"/>
    <w:rPr>
      <w:b/>
      <w:bCs/>
      <w:kern w:val="2"/>
      <w:sz w:val="21"/>
      <w:szCs w:val="22"/>
    </w:rPr>
  </w:style>
  <w:style w:type="paragraph" w:customStyle="1" w:styleId="20">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1">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styleId="2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95AD18-B825-426A-A0ED-0B2124005695}">
  <ds:schemaRefs/>
</ds:datastoreItem>
</file>

<file path=docProps/app.xml><?xml version="1.0" encoding="utf-8"?>
<Properties xmlns="http://schemas.openxmlformats.org/officeDocument/2006/extended-properties" xmlns:vt="http://schemas.openxmlformats.org/officeDocument/2006/docPropsVTypes">
  <Template>Normal</Template>
  <Pages>10</Pages>
  <Words>3078</Words>
  <Characters>3289</Characters>
  <Lines>30</Lines>
  <Paragraphs>8</Paragraphs>
  <TotalTime>21</TotalTime>
  <ScaleCrop>false</ScaleCrop>
  <LinksUpToDate>false</LinksUpToDate>
  <CharactersWithSpaces>3293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2025-10-17T11:55:00Z</dcterms:created>
  <dc:creator>Lenovo</dc:creator>
  <cp:lastModifiedBy>许诺</cp:lastModifiedBy>
  <cp:lastPrinted>2026-10-09T10:29:00Z</cp:lastPrinted>
  <dcterms:modified xsi:type="dcterms:W3CDTF">2026-10-16T03:30:31Z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0D356B1F972B440CB92C8A5FC1530466</vt:lpwstr>
  </property>
  <property fmtid="{D5CDD505-2E9C-101B-9397-08002B2CF9AE}" pid="4" name="KSOTemplateDocerSaveRecord">
    <vt:lpwstr>eyJoZGlkIjoiMTg2OTcyYmU4OWY3OWYxNTIzMzZhZWQwYzg4OGQ1YzQiLCJ1c2VySWQiOiIxNjM5NTgwNzEzIn0=</vt:lpwstr>
  </property>
</Properties>
</file>